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01A10">
      <w:pPr>
        <w:pStyle w:val="34"/>
        <w:spacing w:before="157" w:beforeLines="50" w:after="157" w:afterLines="50" w:line="480" w:lineRule="auto"/>
        <w:ind w:firstLine="0"/>
        <w:jc w:val="center"/>
        <w:rPr>
          <w:rFonts w:hint="eastAsia" w:ascii="黑体" w:hAnsi="黑体" w:eastAsia="黑体" w:cs="黑体"/>
          <w:b/>
          <w:bCs w:val="0"/>
          <w:color w:val="auto"/>
          <w:sz w:val="52"/>
          <w:szCs w:val="52"/>
        </w:rPr>
      </w:pPr>
      <w:r>
        <w:rPr>
          <w:rFonts w:hint="eastAsia" w:ascii="黑体" w:hAnsi="黑体" w:eastAsia="黑体" w:cs="黑体"/>
          <w:b/>
          <w:bCs w:val="0"/>
          <w:color w:val="auto"/>
          <w:sz w:val="52"/>
          <w:szCs w:val="52"/>
        </w:rPr>
        <w:t>海钢集团经营管理数据分析系统</w:t>
      </w:r>
    </w:p>
    <w:p w14:paraId="57DBBDC9">
      <w:pPr>
        <w:pStyle w:val="34"/>
        <w:spacing w:before="157" w:beforeLines="50" w:after="157" w:afterLines="50" w:line="480" w:lineRule="auto"/>
        <w:ind w:firstLine="0"/>
        <w:jc w:val="center"/>
        <w:rPr>
          <w:rFonts w:hint="eastAsia" w:ascii="黑体" w:hAnsi="黑体" w:eastAsia="黑体" w:cs="黑体"/>
          <w:b/>
          <w:bCs w:val="0"/>
          <w:color w:val="auto"/>
          <w:sz w:val="52"/>
          <w:szCs w:val="52"/>
        </w:rPr>
      </w:pPr>
      <w:r>
        <w:rPr>
          <w:rFonts w:hint="eastAsia" w:ascii="黑体" w:hAnsi="黑体" w:eastAsia="黑体" w:cs="黑体"/>
          <w:b/>
          <w:bCs w:val="0"/>
          <w:color w:val="auto"/>
          <w:sz w:val="52"/>
          <w:szCs w:val="52"/>
        </w:rPr>
        <w:t>建设项目谈判文件</w:t>
      </w:r>
    </w:p>
    <w:p w14:paraId="210D5E22">
      <w:pPr>
        <w:spacing w:line="480" w:lineRule="auto"/>
        <w:rPr>
          <w:rStyle w:val="35"/>
          <w:sz w:val="30"/>
          <w:szCs w:val="30"/>
        </w:rPr>
      </w:pPr>
    </w:p>
    <w:p w14:paraId="27CE28CB">
      <w:pPr>
        <w:spacing w:line="480" w:lineRule="auto"/>
        <w:rPr>
          <w:rStyle w:val="35"/>
          <w:sz w:val="30"/>
          <w:szCs w:val="30"/>
        </w:rPr>
      </w:pPr>
    </w:p>
    <w:p w14:paraId="2582D5AE">
      <w:pPr>
        <w:spacing w:line="480" w:lineRule="auto"/>
        <w:rPr>
          <w:rStyle w:val="35"/>
          <w:sz w:val="30"/>
          <w:szCs w:val="30"/>
        </w:rPr>
      </w:pPr>
    </w:p>
    <w:p w14:paraId="1D9855D5">
      <w:pPr>
        <w:spacing w:line="480" w:lineRule="auto"/>
        <w:rPr>
          <w:rStyle w:val="35"/>
          <w:sz w:val="30"/>
          <w:szCs w:val="30"/>
        </w:rPr>
      </w:pPr>
    </w:p>
    <w:p w14:paraId="1C115DFE">
      <w:pPr>
        <w:pStyle w:val="5"/>
        <w:ind w:firstLine="0" w:firstLineChars="0"/>
        <w:rPr>
          <w:rStyle w:val="35"/>
          <w:sz w:val="30"/>
          <w:szCs w:val="30"/>
        </w:rPr>
      </w:pPr>
    </w:p>
    <w:p w14:paraId="747ED962">
      <w:pPr>
        <w:spacing w:before="157" w:beforeLines="50" w:line="480" w:lineRule="auto"/>
        <w:ind w:left="0" w:leftChars="0"/>
        <w:rPr>
          <w:rStyle w:val="35"/>
          <w:rFonts w:hint="eastAsia" w:ascii="宋体" w:hAnsi="宋体" w:eastAsia="宋体" w:cs="宋体"/>
          <w:b/>
          <w:bCs/>
          <w:sz w:val="28"/>
          <w:szCs w:val="28"/>
          <w:lang w:val="en-US" w:eastAsia="zh-CN"/>
        </w:rPr>
      </w:pPr>
      <w:r>
        <w:rPr>
          <w:rStyle w:val="35"/>
          <w:rFonts w:hint="eastAsia" w:ascii="宋体" w:hAnsi="宋体" w:eastAsia="宋体" w:cs="宋体"/>
          <w:b/>
          <w:bCs/>
          <w:sz w:val="28"/>
          <w:szCs w:val="28"/>
        </w:rPr>
        <w:t>采购方式：</w:t>
      </w:r>
      <w:r>
        <w:rPr>
          <w:rStyle w:val="35"/>
          <w:rFonts w:hint="eastAsia" w:ascii="宋体" w:hAnsi="宋体" w:eastAsia="宋体" w:cs="宋体"/>
          <w:b/>
          <w:bCs/>
          <w:sz w:val="28"/>
          <w:szCs w:val="28"/>
          <w:u w:val="single"/>
          <w:lang w:val="en-US" w:eastAsia="zh-CN"/>
        </w:rPr>
        <w:t xml:space="preserve">                </w:t>
      </w:r>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rPr>
        <w:t>谈判</w:t>
      </w:r>
      <w:r>
        <w:rPr>
          <w:rStyle w:val="35"/>
          <w:rFonts w:hint="eastAsia" w:hAnsi="宋体" w:cs="宋体"/>
          <w:b/>
          <w:bCs/>
          <w:sz w:val="28"/>
          <w:szCs w:val="28"/>
          <w:u w:val="single"/>
          <w:lang w:val="en-US" w:eastAsia="zh-CN"/>
        </w:rPr>
        <w:t>采购</w:t>
      </w:r>
      <w:r>
        <w:rPr>
          <w:rStyle w:val="35"/>
          <w:rFonts w:hint="eastAsia" w:ascii="宋体" w:hAnsi="宋体" w:eastAsia="宋体" w:cs="宋体"/>
          <w:b/>
          <w:bCs/>
          <w:sz w:val="28"/>
          <w:szCs w:val="28"/>
          <w:u w:val="single"/>
          <w:lang w:val="en-US" w:eastAsia="zh-CN"/>
        </w:rPr>
        <w:t xml:space="preserve">     </w:t>
      </w:r>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lang w:val="en-US" w:eastAsia="zh-CN"/>
        </w:rPr>
        <w:t xml:space="preserve">              </w:t>
      </w:r>
    </w:p>
    <w:p w14:paraId="56F98DAA">
      <w:pPr>
        <w:spacing w:before="157" w:beforeLines="50" w:line="480" w:lineRule="auto"/>
        <w:ind w:left="0" w:leftChars="0" w:firstLine="0" w:firstLineChars="0"/>
        <w:rPr>
          <w:rStyle w:val="35"/>
          <w:rFonts w:hint="eastAsia" w:ascii="宋体" w:hAnsi="宋体" w:eastAsia="宋体" w:cs="宋体"/>
          <w:b/>
          <w:bCs/>
          <w:sz w:val="28"/>
          <w:szCs w:val="28"/>
          <w:lang w:val="en-US"/>
        </w:rPr>
      </w:pPr>
      <w:r>
        <w:rPr>
          <w:rStyle w:val="35"/>
          <w:rFonts w:hint="eastAsia" w:ascii="宋体" w:hAnsi="宋体" w:eastAsia="宋体" w:cs="宋体"/>
          <w:b/>
          <w:bCs/>
          <w:sz w:val="28"/>
          <w:szCs w:val="28"/>
        </w:rPr>
        <w:t>项目名称：</w:t>
      </w:r>
      <w:bookmarkStart w:id="0" w:name="_Hlk198855708"/>
      <w:r>
        <w:rPr>
          <w:rStyle w:val="35"/>
          <w:rFonts w:hint="eastAsia" w:ascii="宋体" w:hAnsi="宋体" w:eastAsia="宋体" w:cs="宋体"/>
          <w:b/>
          <w:bCs/>
          <w:sz w:val="28"/>
          <w:szCs w:val="28"/>
          <w:u w:val="single"/>
          <w:lang w:val="en-US" w:eastAsia="zh-CN"/>
        </w:rPr>
        <w:t xml:space="preserve">  </w:t>
      </w:r>
      <w:r>
        <w:rPr>
          <w:rStyle w:val="35"/>
          <w:rFonts w:hint="eastAsia" w:hAnsi="宋体" w:cs="宋体"/>
          <w:b/>
          <w:bCs/>
          <w:sz w:val="28"/>
          <w:szCs w:val="28"/>
          <w:u w:val="single"/>
          <w:lang w:val="en-US" w:eastAsia="zh-CN"/>
        </w:rPr>
        <w:t xml:space="preserve"> </w:t>
      </w:r>
      <w:bookmarkEnd w:id="0"/>
      <w:bookmarkStart w:id="213" w:name="_GoBack"/>
      <w:r>
        <w:rPr>
          <w:rStyle w:val="35"/>
          <w:rFonts w:hint="eastAsia" w:ascii="宋体" w:hAnsi="宋体" w:eastAsia="宋体" w:cs="宋体"/>
          <w:b/>
          <w:bCs/>
          <w:sz w:val="28"/>
          <w:szCs w:val="28"/>
          <w:u w:val="single"/>
          <w:lang w:val="en-US" w:eastAsia="zh-CN"/>
        </w:rPr>
        <w:t>海钢集团经营管理数据分析系统</w:t>
      </w:r>
      <w:r>
        <w:rPr>
          <w:rStyle w:val="35"/>
          <w:rFonts w:hint="eastAsia" w:hAnsi="宋体" w:cs="宋体"/>
          <w:b/>
          <w:bCs/>
          <w:sz w:val="28"/>
          <w:szCs w:val="28"/>
          <w:u w:val="single"/>
          <w:lang w:val="en-US" w:eastAsia="zh-CN"/>
        </w:rPr>
        <w:t>建设项目</w:t>
      </w:r>
      <w:bookmarkEnd w:id="213"/>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lang w:val="en-US" w:eastAsia="zh-CN"/>
        </w:rPr>
        <w:t xml:space="preserve">    </w:t>
      </w:r>
    </w:p>
    <w:p w14:paraId="07317812">
      <w:pPr>
        <w:spacing w:before="157" w:beforeLines="50" w:line="480" w:lineRule="auto"/>
        <w:ind w:left="0" w:leftChars="0" w:firstLine="0" w:firstLineChars="0"/>
        <w:rPr>
          <w:rFonts w:hint="eastAsia" w:hAnsi="宋体" w:eastAsia="宋体" w:cs="宋体"/>
          <w:b/>
          <w:bCs/>
          <w:sz w:val="28"/>
          <w:szCs w:val="28"/>
          <w:u w:val="single"/>
        </w:rPr>
      </w:pPr>
      <w:r>
        <w:rPr>
          <w:rStyle w:val="35"/>
          <w:rFonts w:hint="eastAsia" w:ascii="宋体" w:hAnsi="宋体" w:eastAsia="宋体" w:cs="宋体"/>
          <w:b/>
          <w:bCs/>
          <w:sz w:val="28"/>
          <w:szCs w:val="28"/>
        </w:rPr>
        <w:t>项目地点：</w:t>
      </w:r>
      <w:r>
        <w:rPr>
          <w:rStyle w:val="35"/>
          <w:rFonts w:hint="eastAsia" w:ascii="宋体" w:hAnsi="宋体" w:eastAsia="宋体" w:cs="宋体"/>
          <w:b/>
          <w:bCs/>
          <w:sz w:val="28"/>
          <w:szCs w:val="28"/>
          <w:u w:val="single"/>
          <w:lang w:val="en-US" w:eastAsia="zh-CN"/>
        </w:rPr>
        <w:t xml:space="preserve">               </w:t>
      </w:r>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rPr>
        <w:t>海南省昌江县</w:t>
      </w:r>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lang w:val="en-US" w:eastAsia="zh-CN"/>
        </w:rPr>
        <w:t xml:space="preserve"> </w:t>
      </w:r>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lang w:val="en-US" w:eastAsia="zh-CN"/>
        </w:rPr>
        <w:t xml:space="preserve">                 </w:t>
      </w:r>
    </w:p>
    <w:p w14:paraId="28BF1DDF">
      <w:pPr>
        <w:tabs>
          <w:tab w:val="center" w:pos="4153"/>
          <w:tab w:val="right" w:pos="8306"/>
        </w:tabs>
        <w:spacing w:line="580" w:lineRule="exact"/>
        <w:ind w:left="0" w:leftChars="0"/>
        <w:jc w:val="left"/>
        <w:rPr>
          <w:rStyle w:val="35"/>
          <w:rFonts w:hint="eastAsia" w:ascii="宋体" w:hAnsi="宋体" w:cs="宋体"/>
          <w:b/>
          <w:bCs/>
          <w:sz w:val="28"/>
          <w:szCs w:val="28"/>
        </w:rPr>
      </w:pPr>
      <w:r>
        <w:rPr>
          <w:rStyle w:val="35"/>
          <w:rFonts w:hint="eastAsia" w:ascii="宋体" w:hAnsi="宋体" w:eastAsia="宋体" w:cs="宋体"/>
          <w:b/>
          <w:bCs/>
          <w:sz w:val="28"/>
          <w:szCs w:val="28"/>
        </w:rPr>
        <w:t>采 购 人：</w:t>
      </w:r>
      <w:r>
        <w:rPr>
          <w:rStyle w:val="35"/>
          <w:rFonts w:hint="eastAsia" w:ascii="宋体" w:hAnsi="宋体" w:eastAsia="宋体" w:cs="宋体"/>
          <w:b/>
          <w:bCs/>
          <w:sz w:val="28"/>
          <w:szCs w:val="28"/>
          <w:u w:val="single"/>
          <w:lang w:val="en-US" w:eastAsia="zh-CN"/>
        </w:rPr>
        <w:t xml:space="preserve">            </w:t>
      </w:r>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rPr>
        <w:t>海南海钢集团有限公司</w:t>
      </w:r>
      <w:r>
        <w:rPr>
          <w:rStyle w:val="35"/>
          <w:rFonts w:hint="eastAsia" w:hAnsi="宋体" w:cs="宋体"/>
          <w:b/>
          <w:bCs/>
          <w:sz w:val="28"/>
          <w:szCs w:val="28"/>
          <w:u w:val="single"/>
          <w:lang w:val="en-US" w:eastAsia="zh-CN"/>
        </w:rPr>
        <w:t xml:space="preserve"> </w:t>
      </w:r>
      <w:r>
        <w:rPr>
          <w:rStyle w:val="35"/>
          <w:rFonts w:hint="eastAsia" w:ascii="宋体" w:hAnsi="宋体" w:eastAsia="宋体" w:cs="宋体"/>
          <w:b/>
          <w:bCs/>
          <w:sz w:val="28"/>
          <w:szCs w:val="28"/>
          <w:u w:val="single"/>
          <w:lang w:val="en-US" w:eastAsia="zh-CN"/>
        </w:rPr>
        <w:t xml:space="preserve">             </w:t>
      </w:r>
    </w:p>
    <w:p w14:paraId="4013851C">
      <w:pPr>
        <w:pStyle w:val="3"/>
      </w:pPr>
    </w:p>
    <w:p w14:paraId="4A05FD56">
      <w:pPr>
        <w:pStyle w:val="5"/>
        <w:ind w:firstLine="0" w:firstLineChars="0"/>
      </w:pPr>
    </w:p>
    <w:p w14:paraId="2D853741">
      <w:pPr>
        <w:tabs>
          <w:tab w:val="center" w:pos="4153"/>
          <w:tab w:val="right" w:pos="8306"/>
        </w:tabs>
        <w:spacing w:line="276" w:lineRule="auto"/>
        <w:jc w:val="center"/>
        <w:rPr>
          <w:rStyle w:val="35"/>
          <w:sz w:val="30"/>
          <w:szCs w:val="30"/>
        </w:rPr>
        <w:sectPr>
          <w:headerReference r:id="rId3" w:type="first"/>
          <w:footerReference r:id="rId4" w:type="first"/>
          <w:pgSz w:w="11905" w:h="16838"/>
          <w:pgMar w:top="1984" w:right="1871" w:bottom="1984" w:left="1871" w:header="851" w:footer="850" w:gutter="0"/>
          <w:pgNumType w:fmt="chineseCounting" w:start="1"/>
          <w:cols w:space="720" w:num="1"/>
          <w:docGrid w:linePitch="312" w:charSpace="0"/>
        </w:sectPr>
      </w:pPr>
      <w:r>
        <w:rPr>
          <w:rStyle w:val="35"/>
          <w:rFonts w:hint="eastAsia"/>
          <w:sz w:val="30"/>
          <w:szCs w:val="30"/>
        </w:rPr>
        <w:t>2025</w:t>
      </w:r>
      <w:r>
        <w:rPr>
          <w:rStyle w:val="35"/>
          <w:sz w:val="30"/>
          <w:szCs w:val="30"/>
        </w:rPr>
        <w:t>年</w:t>
      </w:r>
      <w:r>
        <w:rPr>
          <w:rStyle w:val="35"/>
          <w:rFonts w:hint="eastAsia"/>
          <w:sz w:val="30"/>
          <w:szCs w:val="30"/>
        </w:rPr>
        <w:t>0</w:t>
      </w:r>
      <w:r>
        <w:rPr>
          <w:rStyle w:val="35"/>
          <w:rFonts w:hint="eastAsia"/>
          <w:sz w:val="30"/>
          <w:szCs w:val="30"/>
          <w:lang w:val="en-US" w:eastAsia="zh-CN"/>
        </w:rPr>
        <w:t>8</w:t>
      </w:r>
      <w:r>
        <w:rPr>
          <w:rStyle w:val="35"/>
          <w:sz w:val="30"/>
          <w:szCs w:val="30"/>
        </w:rPr>
        <w:t>月</w:t>
      </w:r>
    </w:p>
    <w:p w14:paraId="7E9E37AA">
      <w:pPr>
        <w:keepNext w:val="0"/>
        <w:keepLines w:val="0"/>
        <w:widowControl w:val="0"/>
        <w:numPr>
          <w:ilvl w:val="0"/>
          <w:numId w:val="0"/>
        </w:numPr>
        <w:spacing w:before="0" w:after="0" w:line="600" w:lineRule="exact"/>
        <w:jc w:val="center"/>
        <w:outlineLvl w:val="0"/>
        <w:rPr>
          <w:rFonts w:hint="eastAsia" w:ascii="方正小标宋简体" w:hAnsi="方正小标宋简体" w:eastAsia="方正小标宋简体" w:cs="方正小标宋简体"/>
          <w:color w:val="000000"/>
          <w:kern w:val="2"/>
          <w:sz w:val="44"/>
          <w:szCs w:val="44"/>
          <w:lang w:bidi="ar"/>
        </w:rPr>
      </w:pPr>
      <w:bookmarkStart w:id="1" w:name="_Toc19028"/>
      <w:bookmarkStart w:id="2" w:name="_Toc5156"/>
      <w:bookmarkStart w:id="3" w:name="_Toc327324316"/>
      <w:bookmarkStart w:id="4" w:name="_Toc21291"/>
      <w:bookmarkStart w:id="5" w:name="_Toc7043"/>
      <w:bookmarkStart w:id="6" w:name="_Toc22954"/>
      <w:bookmarkStart w:id="7" w:name="_Toc21406"/>
      <w:bookmarkStart w:id="8" w:name="_Toc198856060"/>
      <w:bookmarkStart w:id="9" w:name="_Toc13340"/>
      <w:bookmarkStart w:id="10" w:name="_Toc16442"/>
      <w:bookmarkStart w:id="11" w:name="_Toc18914"/>
      <w:bookmarkStart w:id="12" w:name="_Toc449078345"/>
      <w:bookmarkStart w:id="13" w:name="_Toc14254"/>
      <w:r>
        <w:rPr>
          <w:rFonts w:hint="eastAsia" w:ascii="方正小标宋简体" w:hAnsi="方正小标宋简体" w:eastAsia="方正小标宋简体" w:cs="方正小标宋简体"/>
          <w:color w:val="000000"/>
          <w:kern w:val="2"/>
          <w:sz w:val="44"/>
          <w:szCs w:val="44"/>
          <w:lang w:val="en-US" w:eastAsia="zh-CN" w:bidi="ar"/>
        </w:rPr>
        <w:t xml:space="preserve">第一章 </w:t>
      </w:r>
      <w:r>
        <w:rPr>
          <w:rFonts w:hint="eastAsia" w:ascii="方正小标宋简体" w:hAnsi="方正小标宋简体" w:eastAsia="方正小标宋简体" w:cs="方正小标宋简体"/>
          <w:color w:val="000000"/>
          <w:kern w:val="2"/>
          <w:sz w:val="44"/>
          <w:szCs w:val="44"/>
          <w:lang w:bidi="ar"/>
        </w:rPr>
        <w:t>谈判公告</w:t>
      </w:r>
      <w:bookmarkEnd w:id="1"/>
      <w:bookmarkEnd w:id="2"/>
      <w:bookmarkEnd w:id="3"/>
      <w:bookmarkEnd w:id="4"/>
      <w:bookmarkEnd w:id="5"/>
      <w:bookmarkEnd w:id="6"/>
      <w:bookmarkEnd w:id="7"/>
      <w:bookmarkEnd w:id="8"/>
      <w:bookmarkEnd w:id="9"/>
      <w:bookmarkEnd w:id="10"/>
      <w:bookmarkEnd w:id="11"/>
      <w:bookmarkEnd w:id="12"/>
      <w:bookmarkEnd w:id="13"/>
    </w:p>
    <w:p w14:paraId="27A8E7E6">
      <w:pPr>
        <w:keepNext w:val="0"/>
        <w:keepLines w:val="0"/>
        <w:widowControl w:val="0"/>
        <w:numPr>
          <w:ilvl w:val="0"/>
          <w:numId w:val="0"/>
        </w:numPr>
        <w:spacing w:before="0" w:after="0" w:line="600" w:lineRule="exact"/>
        <w:jc w:val="both"/>
        <w:rPr>
          <w:rFonts w:hint="eastAsia" w:ascii="方正小标宋简体" w:hAnsi="方正小标宋简体" w:eastAsia="方正小标宋简体" w:cs="方正小标宋简体"/>
          <w:color w:val="000000"/>
          <w:kern w:val="2"/>
          <w:sz w:val="44"/>
          <w:szCs w:val="44"/>
          <w:lang w:bidi="ar"/>
        </w:rPr>
      </w:pPr>
    </w:p>
    <w:p w14:paraId="4FCAAFAF">
      <w:pPr>
        <w:pStyle w:val="21"/>
        <w:shd w:val="clear" w:color="auto" w:fill="FFFFFF"/>
        <w:spacing w:before="0" w:beforeLines="0" w:beforeAutospacing="0" w:after="0" w:afterLines="0" w:afterAutospacing="0" w:line="576" w:lineRule="exact"/>
        <w:ind w:firstLine="640" w:firstLineChars="200"/>
        <w:textAlignment w:val="baseline"/>
        <w:outlineLvl w:val="1"/>
        <w:rPr>
          <w:rFonts w:hint="eastAsia" w:ascii="黑体" w:hAnsi="宋体" w:eastAsia="黑体" w:cs="黑体"/>
          <w:color w:val="000000"/>
          <w:kern w:val="2"/>
          <w:sz w:val="32"/>
          <w:szCs w:val="32"/>
          <w:shd w:val="clear" w:color="auto" w:fill="auto"/>
          <w:lang w:bidi="ar"/>
        </w:rPr>
      </w:pPr>
      <w:r>
        <w:rPr>
          <w:rFonts w:hint="eastAsia" w:ascii="黑体" w:hAnsi="宋体" w:eastAsia="黑体" w:cs="黑体"/>
          <w:color w:val="000000"/>
          <w:kern w:val="2"/>
          <w:sz w:val="32"/>
          <w:szCs w:val="32"/>
          <w:shd w:val="clear" w:color="auto" w:fill="auto"/>
          <w:lang w:val="en-US" w:eastAsia="zh-CN" w:bidi="ar"/>
        </w:rPr>
        <w:t>一、</w:t>
      </w:r>
      <w:r>
        <w:rPr>
          <w:rFonts w:hint="eastAsia" w:ascii="黑体" w:hAnsi="宋体" w:eastAsia="黑体" w:cs="黑体"/>
          <w:color w:val="000000"/>
          <w:kern w:val="2"/>
          <w:sz w:val="32"/>
          <w:szCs w:val="32"/>
          <w:shd w:val="clear" w:color="auto" w:fill="auto"/>
          <w:lang w:bidi="ar"/>
        </w:rPr>
        <w:t>项目概况</w:t>
      </w:r>
    </w:p>
    <w:p w14:paraId="43690DFD">
      <w:pPr>
        <w:pStyle w:val="21"/>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Times New Roman" w:eastAsia="仿宋_GB2312" w:cs="仿宋_GB2312"/>
          <w:color w:val="000000"/>
          <w:kern w:val="2"/>
          <w:sz w:val="28"/>
          <w:szCs w:val="28"/>
          <w:shd w:val="clear" w:color="auto" w:fill="auto"/>
          <w:lang w:bidi="ar"/>
        </w:rPr>
        <w:t>参加</w:t>
      </w:r>
      <w:r>
        <w:rPr>
          <w:rFonts w:hint="eastAsia" w:ascii="仿宋_GB2312" w:hAnsi="Times New Roman" w:eastAsia="仿宋_GB2312" w:cs="仿宋_GB2312"/>
          <w:color w:val="000000"/>
          <w:kern w:val="2"/>
          <w:sz w:val="28"/>
          <w:szCs w:val="28"/>
          <w:u w:val="none"/>
          <w:shd w:val="clear" w:color="auto" w:fill="auto"/>
          <w:lang w:val="en-US" w:eastAsia="zh-CN" w:bidi="ar"/>
        </w:rPr>
        <w:t>海南海钢集团有限公司财务数据分析系统建设项目</w:t>
      </w:r>
      <w:r>
        <w:rPr>
          <w:rFonts w:hint="eastAsia" w:ascii="仿宋_GB2312" w:hAnsi="Times New Roman" w:eastAsia="仿宋_GB2312" w:cs="仿宋_GB2312"/>
          <w:color w:val="000000"/>
          <w:kern w:val="2"/>
          <w:sz w:val="28"/>
          <w:szCs w:val="28"/>
          <w:shd w:val="clear" w:color="auto" w:fill="auto"/>
          <w:lang w:bidi="ar"/>
        </w:rPr>
        <w:t>的供应商应在</w:t>
      </w:r>
      <w:r>
        <w:rPr>
          <w:rFonts w:hint="eastAsia" w:ascii="仿宋_GB2312" w:hAnsi="Times New Roman" w:eastAsia="仿宋_GB2312" w:cs="仿宋_GB2312"/>
          <w:color w:val="000000"/>
          <w:kern w:val="2"/>
          <w:sz w:val="28"/>
          <w:szCs w:val="28"/>
          <w:lang w:bidi="ar"/>
        </w:rPr>
        <w:fldChar w:fldCharType="begin"/>
      </w:r>
      <w:r>
        <w:rPr>
          <w:rFonts w:hint="eastAsia" w:ascii="仿宋_GB2312" w:hAnsi="Times New Roman" w:eastAsia="仿宋_GB2312" w:cs="仿宋_GB2312"/>
          <w:color w:val="000000"/>
          <w:kern w:val="2"/>
          <w:sz w:val="28"/>
          <w:szCs w:val="28"/>
          <w:lang w:bidi="ar"/>
        </w:rPr>
        <w:instrText xml:space="preserve"> HYPERLINK "http://www.hnhggp.com/" </w:instrText>
      </w:r>
      <w:r>
        <w:rPr>
          <w:rFonts w:hint="eastAsia" w:ascii="仿宋_GB2312" w:hAnsi="Times New Roman" w:eastAsia="仿宋_GB2312" w:cs="仿宋_GB2312"/>
          <w:color w:val="000000"/>
          <w:kern w:val="2"/>
          <w:sz w:val="28"/>
          <w:szCs w:val="28"/>
          <w:lang w:bidi="ar"/>
        </w:rPr>
        <w:fldChar w:fldCharType="separate"/>
      </w:r>
      <w:r>
        <w:rPr>
          <w:rFonts w:hint="eastAsia" w:ascii="仿宋_GB2312" w:hAnsi="Times New Roman" w:eastAsia="仿宋_GB2312" w:cs="仿宋_GB2312"/>
          <w:b w:val="0"/>
          <w:bCs w:val="0"/>
          <w:color w:val="000000"/>
          <w:kern w:val="2"/>
          <w:sz w:val="28"/>
          <w:szCs w:val="28"/>
          <w:u w:val="none"/>
          <w:lang w:bidi="ar"/>
        </w:rPr>
        <w:t>www.hnhggp.com</w:t>
      </w:r>
      <w:r>
        <w:rPr>
          <w:rFonts w:hint="eastAsia" w:ascii="仿宋_GB2312" w:hAnsi="Times New Roman" w:eastAsia="仿宋_GB2312" w:cs="仿宋_GB2312"/>
          <w:b w:val="0"/>
          <w:bCs w:val="0"/>
          <w:color w:val="000000"/>
          <w:kern w:val="2"/>
          <w:sz w:val="28"/>
          <w:szCs w:val="28"/>
          <w:u w:val="none"/>
          <w:lang w:bidi="ar"/>
        </w:rPr>
        <w:fldChar w:fldCharType="end"/>
      </w:r>
      <w:r>
        <w:rPr>
          <w:rFonts w:hint="eastAsia" w:ascii="仿宋_GB2312" w:hAnsi="Times New Roman" w:eastAsia="仿宋_GB2312" w:cs="仿宋_GB2312"/>
          <w:color w:val="000000"/>
          <w:kern w:val="2"/>
          <w:sz w:val="28"/>
          <w:szCs w:val="28"/>
          <w:u w:val="none"/>
          <w:lang w:bidi="ar"/>
        </w:rPr>
        <w:t>；</w:t>
      </w:r>
      <w:r>
        <w:rPr>
          <w:rFonts w:hint="eastAsia" w:ascii="仿宋_GB2312" w:hAnsi="Times New Roman" w:eastAsia="仿宋_GB2312" w:cs="仿宋_GB2312"/>
          <w:b w:val="0"/>
          <w:bCs w:val="0"/>
          <w:color w:val="000000"/>
          <w:kern w:val="2"/>
          <w:sz w:val="28"/>
          <w:szCs w:val="28"/>
          <w:u w:val="none"/>
          <w:lang w:bidi="ar"/>
        </w:rPr>
        <w:t>www.hncq.cn</w:t>
      </w:r>
      <w:r>
        <w:rPr>
          <w:rFonts w:hint="eastAsia" w:ascii="仿宋_GB2312" w:hAnsi="Times New Roman" w:eastAsia="仿宋_GB2312" w:cs="仿宋_GB2312"/>
          <w:bCs w:val="0"/>
          <w:color w:val="000000"/>
          <w:kern w:val="2"/>
          <w:sz w:val="28"/>
          <w:szCs w:val="28"/>
          <w:lang w:bidi="ar"/>
        </w:rPr>
        <w:t>获取</w:t>
      </w:r>
      <w:r>
        <w:rPr>
          <w:rFonts w:hint="eastAsia" w:ascii="仿宋_GB2312" w:hAnsi="Times New Roman" w:eastAsia="仿宋_GB2312" w:cs="仿宋_GB2312"/>
          <w:color w:val="000000"/>
          <w:kern w:val="2"/>
          <w:sz w:val="28"/>
          <w:szCs w:val="28"/>
          <w:shd w:val="clear" w:color="auto" w:fill="auto"/>
          <w:lang w:bidi="ar"/>
        </w:rPr>
        <w:t>谈判文件，并于2025年</w:t>
      </w:r>
      <w:r>
        <w:rPr>
          <w:rFonts w:hint="eastAsia" w:ascii="仿宋_GB2312" w:hAnsi="Times New Roman" w:eastAsia="仿宋_GB2312" w:cs="仿宋_GB2312"/>
          <w:color w:val="000000"/>
          <w:kern w:val="2"/>
          <w:sz w:val="28"/>
          <w:szCs w:val="28"/>
          <w:shd w:val="clear" w:color="auto" w:fill="auto"/>
          <w:lang w:val="en-US" w:eastAsia="zh-CN" w:bidi="ar"/>
        </w:rPr>
        <w:t>8</w:t>
      </w:r>
      <w:r>
        <w:rPr>
          <w:rFonts w:hint="eastAsia" w:ascii="仿宋_GB2312" w:hAnsi="Times New Roman" w:eastAsia="仿宋_GB2312" w:cs="仿宋_GB2312"/>
          <w:color w:val="000000"/>
          <w:kern w:val="2"/>
          <w:sz w:val="28"/>
          <w:szCs w:val="28"/>
          <w:shd w:val="clear" w:color="auto" w:fill="auto"/>
          <w:lang w:bidi="ar"/>
        </w:rPr>
        <w:t>月</w:t>
      </w:r>
      <w:r>
        <w:rPr>
          <w:rFonts w:hint="eastAsia" w:ascii="仿宋_GB2312" w:hAnsi="Times New Roman" w:eastAsia="仿宋_GB2312" w:cs="仿宋_GB2312"/>
          <w:color w:val="000000"/>
          <w:kern w:val="2"/>
          <w:sz w:val="28"/>
          <w:szCs w:val="28"/>
          <w:shd w:val="clear" w:color="auto" w:fill="auto"/>
          <w:lang w:val="en-US" w:eastAsia="zh-CN" w:bidi="ar"/>
        </w:rPr>
        <w:t>28</w:t>
      </w:r>
      <w:r>
        <w:rPr>
          <w:rFonts w:hint="eastAsia" w:ascii="仿宋_GB2312" w:hAnsi="Times New Roman" w:eastAsia="仿宋_GB2312" w:cs="仿宋_GB2312"/>
          <w:color w:val="000000"/>
          <w:kern w:val="2"/>
          <w:sz w:val="28"/>
          <w:szCs w:val="28"/>
          <w:shd w:val="clear" w:color="auto" w:fill="auto"/>
          <w:lang w:bidi="ar"/>
        </w:rPr>
        <w:t>日</w:t>
      </w:r>
      <w:r>
        <w:rPr>
          <w:rFonts w:hint="eastAsia" w:ascii="仿宋_GB2312" w:hAnsi="Times New Roman" w:eastAsia="仿宋_GB2312" w:cs="仿宋_GB2312"/>
          <w:color w:val="000000"/>
          <w:kern w:val="2"/>
          <w:sz w:val="28"/>
          <w:szCs w:val="28"/>
          <w:shd w:val="clear" w:color="auto" w:fill="auto"/>
          <w:lang w:val="en-US" w:eastAsia="zh-CN" w:bidi="ar"/>
        </w:rPr>
        <w:t>17</w:t>
      </w:r>
      <w:r>
        <w:rPr>
          <w:rFonts w:hint="eastAsia" w:ascii="仿宋_GB2312" w:hAnsi="Times New Roman" w:eastAsia="仿宋_GB2312" w:cs="仿宋_GB2312"/>
          <w:color w:val="000000"/>
          <w:kern w:val="2"/>
          <w:sz w:val="28"/>
          <w:szCs w:val="28"/>
          <w:shd w:val="clear" w:color="auto" w:fill="auto"/>
          <w:lang w:bidi="ar"/>
        </w:rPr>
        <w:t>时</w:t>
      </w:r>
      <w:r>
        <w:rPr>
          <w:rFonts w:hint="eastAsia" w:ascii="仿宋_GB2312" w:hAnsi="Times New Roman" w:eastAsia="仿宋_GB2312" w:cs="仿宋_GB2312"/>
          <w:color w:val="000000"/>
          <w:kern w:val="2"/>
          <w:sz w:val="28"/>
          <w:szCs w:val="28"/>
          <w:shd w:val="clear" w:color="auto" w:fill="auto"/>
          <w:lang w:val="en-US" w:eastAsia="zh-CN" w:bidi="ar"/>
        </w:rPr>
        <w:t>30</w:t>
      </w:r>
      <w:r>
        <w:rPr>
          <w:rFonts w:hint="eastAsia" w:ascii="仿宋_GB2312" w:hAnsi="Times New Roman" w:eastAsia="仿宋_GB2312" w:cs="仿宋_GB2312"/>
          <w:color w:val="000000"/>
          <w:kern w:val="2"/>
          <w:sz w:val="28"/>
          <w:szCs w:val="28"/>
          <w:shd w:val="clear" w:color="auto" w:fill="auto"/>
          <w:lang w:bidi="ar"/>
        </w:rPr>
        <w:t>分（北京时间）前提交响应文件。</w:t>
      </w:r>
    </w:p>
    <w:p w14:paraId="2C71817E">
      <w:pPr>
        <w:pStyle w:val="21"/>
        <w:shd w:val="clear" w:color="auto" w:fill="FFFFFF"/>
        <w:spacing w:before="0" w:beforeLines="0" w:beforeAutospacing="0" w:after="0" w:afterLines="0" w:afterAutospacing="0" w:line="576" w:lineRule="exact"/>
        <w:ind w:firstLine="640" w:firstLineChars="200"/>
        <w:jc w:val="left"/>
        <w:textAlignment w:val="baseline"/>
        <w:outlineLvl w:val="1"/>
        <w:rPr>
          <w:rFonts w:hint="eastAsia" w:ascii="黑体" w:hAnsi="宋体" w:eastAsia="黑体" w:cs="黑体"/>
          <w:color w:val="000000"/>
          <w:kern w:val="2"/>
          <w:sz w:val="32"/>
          <w:szCs w:val="32"/>
          <w:shd w:val="clear" w:color="auto" w:fill="auto"/>
          <w:lang w:bidi="ar"/>
        </w:rPr>
      </w:pPr>
      <w:bookmarkStart w:id="14" w:name="_Toc198856061"/>
      <w:r>
        <w:rPr>
          <w:rFonts w:hint="eastAsia" w:ascii="黑体" w:hAnsi="宋体" w:eastAsia="黑体" w:cs="黑体"/>
          <w:color w:val="000000"/>
          <w:kern w:val="2"/>
          <w:sz w:val="32"/>
          <w:szCs w:val="32"/>
          <w:shd w:val="clear" w:color="auto" w:fill="auto"/>
          <w:lang w:val="en-US" w:eastAsia="zh-CN" w:bidi="ar"/>
        </w:rPr>
        <w:t>二</w:t>
      </w:r>
      <w:r>
        <w:rPr>
          <w:rFonts w:hint="eastAsia" w:ascii="黑体" w:hAnsi="宋体" w:eastAsia="黑体" w:cs="黑体"/>
          <w:color w:val="000000"/>
          <w:kern w:val="2"/>
          <w:sz w:val="32"/>
          <w:szCs w:val="32"/>
          <w:shd w:val="clear" w:color="auto" w:fill="auto"/>
          <w:lang w:bidi="ar"/>
        </w:rPr>
        <w:t>、项目基本情况</w:t>
      </w:r>
      <w:bookmarkEnd w:id="14"/>
    </w:p>
    <w:p w14:paraId="6F22BAB9">
      <w:pPr>
        <w:pStyle w:val="21"/>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1.项目名称：</w:t>
      </w:r>
      <w:r>
        <w:rPr>
          <w:rFonts w:hint="eastAsia" w:ascii="仿宋_GB2312" w:hAnsi="Times New Roman" w:eastAsia="仿宋_GB2312" w:cs="仿宋_GB2312"/>
          <w:color w:val="000000"/>
          <w:kern w:val="2"/>
          <w:sz w:val="28"/>
          <w:szCs w:val="28"/>
          <w:u w:val="none"/>
          <w:shd w:val="clear" w:color="auto" w:fill="auto"/>
          <w:lang w:val="en-US" w:eastAsia="zh-CN" w:bidi="ar"/>
        </w:rPr>
        <w:t>海钢集团经营管理数据分析系统建设项目</w:t>
      </w:r>
    </w:p>
    <w:p w14:paraId="2BD6D544">
      <w:pPr>
        <w:pStyle w:val="21"/>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2.采购需求：采购</w:t>
      </w:r>
      <w:r>
        <w:rPr>
          <w:rFonts w:hint="eastAsia" w:ascii="仿宋_GB2312" w:hAnsi="Times New Roman" w:eastAsia="仿宋_GB2312" w:cs="仿宋_GB2312"/>
          <w:color w:val="000000"/>
          <w:kern w:val="2"/>
          <w:sz w:val="28"/>
          <w:szCs w:val="28"/>
          <w:shd w:val="clear" w:color="auto" w:fill="auto"/>
          <w:lang w:eastAsia="zh-CN" w:bidi="ar"/>
        </w:rPr>
        <w:t>海钢集团经营管理数据分析系统建设项目</w:t>
      </w:r>
      <w:r>
        <w:rPr>
          <w:rFonts w:hint="eastAsia" w:ascii="仿宋_GB2312" w:hAnsi="Times New Roman" w:eastAsia="仿宋_GB2312" w:cs="仿宋_GB2312"/>
          <w:color w:val="000000"/>
          <w:kern w:val="2"/>
          <w:sz w:val="28"/>
          <w:szCs w:val="28"/>
          <w:shd w:val="clear" w:color="auto" w:fill="auto"/>
          <w:lang w:bidi="ar"/>
        </w:rPr>
        <w:t>，具体详见第三章采购需求。</w:t>
      </w:r>
    </w:p>
    <w:p w14:paraId="5124BC68">
      <w:pPr>
        <w:pStyle w:val="21"/>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3.项目最高限价为</w:t>
      </w:r>
      <w:r>
        <w:rPr>
          <w:rFonts w:hint="eastAsia" w:ascii="仿宋_GB2312" w:hAnsi="Times New Roman" w:eastAsia="仿宋_GB2312" w:cs="仿宋_GB2312"/>
          <w:color w:val="000000"/>
          <w:kern w:val="2"/>
          <w:sz w:val="28"/>
          <w:szCs w:val="28"/>
          <w:highlight w:val="none"/>
          <w:shd w:val="clear" w:color="auto" w:fill="auto"/>
          <w:lang w:bidi="ar"/>
        </w:rPr>
        <w:t>¥</w:t>
      </w:r>
      <w:r>
        <w:rPr>
          <w:rFonts w:hint="eastAsia" w:ascii="仿宋_GB2312" w:hAnsi="Times New Roman" w:eastAsia="仿宋_GB2312" w:cs="仿宋_GB2312"/>
          <w:color w:val="000000"/>
          <w:kern w:val="2"/>
          <w:sz w:val="28"/>
          <w:szCs w:val="28"/>
          <w:highlight w:val="none"/>
          <w:u w:val="none"/>
          <w:lang w:val="en-US" w:eastAsia="zh-CN" w:bidi="ar"/>
        </w:rPr>
        <w:t>50</w:t>
      </w:r>
      <w:r>
        <w:rPr>
          <w:rFonts w:hint="eastAsia" w:ascii="仿宋_GB2312" w:hAnsi="Times New Roman" w:eastAsia="仿宋_GB2312" w:cs="仿宋_GB2312"/>
          <w:color w:val="000000"/>
          <w:kern w:val="2"/>
          <w:sz w:val="28"/>
          <w:szCs w:val="28"/>
          <w:highlight w:val="none"/>
          <w:u w:val="none"/>
          <w:lang w:bidi="ar"/>
        </w:rPr>
        <w:t>.00</w:t>
      </w:r>
      <w:r>
        <w:rPr>
          <w:rFonts w:hint="eastAsia" w:ascii="仿宋_GB2312" w:hAnsi="Times New Roman" w:eastAsia="仿宋_GB2312" w:cs="仿宋_GB2312"/>
          <w:color w:val="000000"/>
          <w:kern w:val="2"/>
          <w:sz w:val="28"/>
          <w:szCs w:val="28"/>
          <w:shd w:val="clear" w:color="auto" w:fill="auto"/>
          <w:lang w:bidi="ar"/>
        </w:rPr>
        <w:t>万元，超出最高限价的报价，按无效报价处理。</w:t>
      </w:r>
    </w:p>
    <w:p w14:paraId="5B21C11C">
      <w:pPr>
        <w:pStyle w:val="21"/>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4.资金来源：</w:t>
      </w:r>
      <w:r>
        <w:rPr>
          <w:rFonts w:hint="eastAsia" w:ascii="仿宋_GB2312" w:hAnsi="Times New Roman" w:eastAsia="仿宋_GB2312" w:cs="仿宋_GB2312"/>
          <w:color w:val="000000"/>
          <w:kern w:val="2"/>
          <w:sz w:val="28"/>
          <w:szCs w:val="28"/>
          <w:u w:val="none"/>
          <w:shd w:val="clear" w:color="auto" w:fill="auto"/>
          <w:lang w:bidi="ar"/>
        </w:rPr>
        <w:t>企业自有资金</w:t>
      </w:r>
      <w:r>
        <w:rPr>
          <w:rFonts w:hint="eastAsia" w:ascii="仿宋_GB2312" w:hAnsi="Times New Roman" w:eastAsia="仿宋_GB2312" w:cs="仿宋_GB2312"/>
          <w:color w:val="000000"/>
          <w:kern w:val="2"/>
          <w:sz w:val="28"/>
          <w:szCs w:val="28"/>
          <w:shd w:val="clear" w:color="auto" w:fill="auto"/>
          <w:lang w:bidi="ar"/>
        </w:rPr>
        <w:t>。</w:t>
      </w:r>
    </w:p>
    <w:p w14:paraId="0A291A16">
      <w:pPr>
        <w:pStyle w:val="21"/>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5.合同履行期限：合同签订之日起</w:t>
      </w:r>
      <w:r>
        <w:rPr>
          <w:rFonts w:hint="eastAsia" w:ascii="仿宋_GB2312" w:hAnsi="Times New Roman" w:eastAsia="仿宋_GB2312" w:cs="仿宋_GB2312"/>
          <w:color w:val="000000"/>
          <w:kern w:val="2"/>
          <w:sz w:val="28"/>
          <w:szCs w:val="28"/>
          <w:highlight w:val="none"/>
          <w:u w:val="none"/>
          <w:shd w:val="clear" w:color="auto" w:fill="auto"/>
          <w:lang w:val="en-US" w:eastAsia="zh-CN" w:bidi="ar"/>
        </w:rPr>
        <w:t>6</w:t>
      </w:r>
      <w:r>
        <w:rPr>
          <w:rFonts w:hint="eastAsia" w:ascii="仿宋_GB2312" w:hAnsi="Times New Roman" w:eastAsia="仿宋_GB2312" w:cs="仿宋_GB2312"/>
          <w:color w:val="000000"/>
          <w:kern w:val="2"/>
          <w:sz w:val="28"/>
          <w:szCs w:val="28"/>
          <w:u w:val="none"/>
          <w:shd w:val="clear" w:color="auto" w:fill="auto"/>
          <w:lang w:val="en-US" w:eastAsia="zh-CN" w:bidi="ar"/>
        </w:rPr>
        <w:t>个月</w:t>
      </w:r>
      <w:r>
        <w:rPr>
          <w:rFonts w:hint="eastAsia" w:ascii="仿宋_GB2312" w:hAnsi="Times New Roman" w:eastAsia="仿宋_GB2312" w:cs="仿宋_GB2312"/>
          <w:color w:val="000000"/>
          <w:kern w:val="2"/>
          <w:sz w:val="28"/>
          <w:szCs w:val="28"/>
          <w:shd w:val="clear" w:color="auto" w:fill="auto"/>
          <w:lang w:bidi="ar"/>
        </w:rPr>
        <w:t>。</w:t>
      </w:r>
    </w:p>
    <w:p w14:paraId="5E3BBE81">
      <w:pPr>
        <w:pStyle w:val="21"/>
        <w:shd w:val="clear" w:color="auto" w:fill="FFFFFF"/>
        <w:spacing w:before="0" w:beforeLines="0" w:beforeAutospacing="0" w:after="0" w:afterLines="0" w:afterAutospacing="0" w:line="576" w:lineRule="exact"/>
        <w:ind w:firstLine="640" w:firstLineChars="200"/>
        <w:jc w:val="left"/>
        <w:textAlignment w:val="baseline"/>
        <w:outlineLvl w:val="1"/>
        <w:rPr>
          <w:rFonts w:hint="eastAsia" w:ascii="黑体" w:hAnsi="宋体" w:eastAsia="黑体" w:cs="黑体"/>
          <w:color w:val="000000"/>
          <w:kern w:val="2"/>
          <w:sz w:val="32"/>
          <w:szCs w:val="32"/>
          <w:shd w:val="clear" w:color="auto" w:fill="auto"/>
          <w:lang w:bidi="ar"/>
        </w:rPr>
      </w:pPr>
      <w:bookmarkStart w:id="15" w:name="_Toc198856062"/>
      <w:r>
        <w:rPr>
          <w:rFonts w:hint="eastAsia" w:ascii="黑体" w:hAnsi="宋体" w:eastAsia="黑体" w:cs="黑体"/>
          <w:color w:val="000000"/>
          <w:kern w:val="2"/>
          <w:sz w:val="32"/>
          <w:szCs w:val="32"/>
          <w:shd w:val="clear" w:color="auto" w:fill="auto"/>
          <w:lang w:val="en-US" w:eastAsia="zh-CN" w:bidi="ar"/>
        </w:rPr>
        <w:t>三</w:t>
      </w:r>
      <w:r>
        <w:rPr>
          <w:rFonts w:hint="eastAsia" w:ascii="黑体" w:hAnsi="宋体" w:eastAsia="黑体" w:cs="黑体"/>
          <w:color w:val="000000"/>
          <w:kern w:val="2"/>
          <w:sz w:val="32"/>
          <w:szCs w:val="32"/>
          <w:shd w:val="clear" w:color="auto" w:fill="auto"/>
          <w:lang w:bidi="ar"/>
        </w:rPr>
        <w:t>、申请人的资格要求</w:t>
      </w:r>
      <w:bookmarkEnd w:id="15"/>
    </w:p>
    <w:p w14:paraId="69E20E77">
      <w:pPr>
        <w:pStyle w:val="21"/>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1.在中华人民共和国境内注册、具有独立承担民事责任的能力（提供营业执照或事业单位法人证书、若为其他组织提供主管部门颁发的准许执业证明文件）；</w:t>
      </w:r>
    </w:p>
    <w:p w14:paraId="0779C1B4">
      <w:pPr>
        <w:pStyle w:val="21"/>
        <w:widowControl w:val="0"/>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2.具有良好的商业信誉和健全的财务会计制度【</w:t>
      </w:r>
      <w:r>
        <w:rPr>
          <w:rFonts w:hint="eastAsia" w:ascii="仿宋_GB2312" w:hAnsi="Times New Roman" w:eastAsia="仿宋_GB2312" w:cs="仿宋_GB2312"/>
          <w:color w:val="000000"/>
          <w:kern w:val="2"/>
          <w:sz w:val="28"/>
          <w:szCs w:val="28"/>
          <w:highlight w:val="none"/>
          <w:shd w:val="clear" w:color="auto" w:fill="auto"/>
          <w:lang w:bidi="ar"/>
        </w:rPr>
        <w:t>提供2024年会计师事务所出具的财务审计报告或202</w:t>
      </w:r>
      <w:r>
        <w:rPr>
          <w:rFonts w:hint="eastAsia" w:ascii="仿宋_GB2312" w:hAnsi="Times New Roman" w:eastAsia="仿宋_GB2312" w:cs="仿宋_GB2312"/>
          <w:color w:val="000000"/>
          <w:kern w:val="2"/>
          <w:sz w:val="28"/>
          <w:szCs w:val="28"/>
          <w:highlight w:val="none"/>
          <w:shd w:val="clear" w:color="auto" w:fill="auto"/>
          <w:lang w:val="en-US" w:eastAsia="zh-CN" w:bidi="ar"/>
        </w:rPr>
        <w:t>5</w:t>
      </w:r>
      <w:r>
        <w:rPr>
          <w:rFonts w:hint="eastAsia" w:ascii="仿宋_GB2312" w:hAnsi="Times New Roman" w:eastAsia="仿宋_GB2312" w:cs="仿宋_GB2312"/>
          <w:color w:val="000000"/>
          <w:kern w:val="2"/>
          <w:sz w:val="28"/>
          <w:szCs w:val="28"/>
          <w:highlight w:val="none"/>
          <w:shd w:val="clear" w:color="auto" w:fill="auto"/>
          <w:lang w:bidi="ar"/>
        </w:rPr>
        <w:t>年</w:t>
      </w:r>
      <w:r>
        <w:rPr>
          <w:rFonts w:hint="eastAsia" w:ascii="仿宋_GB2312" w:hAnsi="Times New Roman" w:eastAsia="仿宋_GB2312" w:cs="仿宋_GB2312"/>
          <w:color w:val="000000"/>
          <w:kern w:val="2"/>
          <w:sz w:val="28"/>
          <w:szCs w:val="28"/>
          <w:highlight w:val="none"/>
          <w:shd w:val="clear" w:color="auto" w:fill="auto"/>
          <w:lang w:val="en-US" w:eastAsia="zh-CN" w:bidi="ar"/>
        </w:rPr>
        <w:t>第一</w:t>
      </w:r>
      <w:r>
        <w:rPr>
          <w:rFonts w:hint="eastAsia" w:ascii="仿宋_GB2312" w:hAnsi="Times New Roman" w:eastAsia="仿宋_GB2312" w:cs="仿宋_GB2312"/>
          <w:color w:val="000000"/>
          <w:kern w:val="2"/>
          <w:sz w:val="28"/>
          <w:szCs w:val="28"/>
          <w:highlight w:val="none"/>
          <w:shd w:val="clear" w:color="auto" w:fill="auto"/>
          <w:lang w:bidi="ar"/>
        </w:rPr>
        <w:t>季度财务报表（资产负债表、利润表</w:t>
      </w:r>
      <w:r>
        <w:rPr>
          <w:rFonts w:hint="eastAsia" w:ascii="仿宋_GB2312" w:hAnsi="Times New Roman" w:eastAsia="仿宋_GB2312" w:cs="仿宋_GB2312"/>
          <w:color w:val="000000"/>
          <w:kern w:val="2"/>
          <w:sz w:val="28"/>
          <w:szCs w:val="28"/>
          <w:highlight w:val="none"/>
          <w:shd w:val="clear" w:color="auto" w:fill="auto"/>
          <w:lang w:eastAsia="zh-CN" w:bidi="ar"/>
        </w:rPr>
        <w:t>、</w:t>
      </w:r>
      <w:r>
        <w:rPr>
          <w:rFonts w:hint="eastAsia" w:ascii="仿宋_GB2312" w:hAnsi="Times New Roman" w:eastAsia="仿宋_GB2312" w:cs="仿宋_GB2312"/>
          <w:color w:val="000000"/>
          <w:kern w:val="2"/>
          <w:sz w:val="28"/>
          <w:szCs w:val="28"/>
          <w:highlight w:val="none"/>
          <w:shd w:val="clear" w:color="auto" w:fill="auto"/>
          <w:lang w:val="en-US" w:eastAsia="zh-CN" w:bidi="ar"/>
        </w:rPr>
        <w:t>现金流量表</w:t>
      </w:r>
      <w:r>
        <w:rPr>
          <w:rFonts w:hint="eastAsia" w:ascii="仿宋_GB2312" w:hAnsi="Times New Roman" w:eastAsia="仿宋_GB2312" w:cs="仿宋_GB2312"/>
          <w:color w:val="000000"/>
          <w:kern w:val="2"/>
          <w:sz w:val="28"/>
          <w:szCs w:val="28"/>
          <w:highlight w:val="none"/>
          <w:shd w:val="clear" w:color="auto" w:fill="auto"/>
          <w:lang w:bidi="ar"/>
        </w:rPr>
        <w:t>）</w:t>
      </w:r>
      <w:r>
        <w:rPr>
          <w:rFonts w:hint="eastAsia" w:ascii="仿宋_GB2312" w:hAnsi="Times New Roman" w:eastAsia="仿宋_GB2312" w:cs="仿宋_GB2312"/>
          <w:color w:val="000000"/>
          <w:kern w:val="2"/>
          <w:sz w:val="28"/>
          <w:szCs w:val="28"/>
          <w:shd w:val="clear" w:color="auto" w:fill="auto"/>
          <w:lang w:bidi="ar"/>
        </w:rPr>
        <w:t>】</w:t>
      </w:r>
    </w:p>
    <w:p w14:paraId="11E7DC9B">
      <w:pPr>
        <w:pStyle w:val="21"/>
        <w:widowControl w:val="0"/>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3.提供2025年1月至今任意</w:t>
      </w:r>
      <w:r>
        <w:rPr>
          <w:rFonts w:hint="eastAsia" w:ascii="仿宋_GB2312" w:hAnsi="Times New Roman" w:eastAsia="仿宋_GB2312" w:cs="仿宋_GB2312"/>
          <w:color w:val="000000"/>
          <w:kern w:val="2"/>
          <w:sz w:val="28"/>
          <w:szCs w:val="28"/>
          <w:shd w:val="clear" w:color="auto" w:fill="auto"/>
          <w:lang w:val="en-US" w:eastAsia="zh-CN" w:bidi="ar"/>
        </w:rPr>
        <w:t>3</w:t>
      </w:r>
      <w:r>
        <w:rPr>
          <w:rFonts w:hint="eastAsia" w:ascii="仿宋_GB2312" w:hAnsi="Times New Roman" w:eastAsia="仿宋_GB2312" w:cs="仿宋_GB2312"/>
          <w:color w:val="000000"/>
          <w:kern w:val="2"/>
          <w:sz w:val="28"/>
          <w:szCs w:val="28"/>
          <w:shd w:val="clear" w:color="auto" w:fill="auto"/>
          <w:lang w:bidi="ar"/>
        </w:rPr>
        <w:t>个月的社会保障资金缴纳证明（社保缴费单或银行付款单复印件加盖公章）和2025年1月至今任意</w:t>
      </w:r>
      <w:r>
        <w:rPr>
          <w:rFonts w:hint="eastAsia" w:ascii="仿宋_GB2312" w:hAnsi="Times New Roman" w:eastAsia="仿宋_GB2312" w:cs="仿宋_GB2312"/>
          <w:color w:val="000000"/>
          <w:kern w:val="2"/>
          <w:sz w:val="28"/>
          <w:szCs w:val="28"/>
          <w:shd w:val="clear" w:color="auto" w:fill="auto"/>
          <w:lang w:val="en-US" w:eastAsia="zh-CN" w:bidi="ar"/>
        </w:rPr>
        <w:t>3</w:t>
      </w:r>
      <w:r>
        <w:rPr>
          <w:rFonts w:hint="eastAsia" w:ascii="仿宋_GB2312" w:hAnsi="Times New Roman" w:eastAsia="仿宋_GB2312" w:cs="仿宋_GB2312"/>
          <w:color w:val="000000"/>
          <w:kern w:val="2"/>
          <w:sz w:val="28"/>
          <w:szCs w:val="28"/>
          <w:shd w:val="clear" w:color="auto" w:fill="auto"/>
          <w:lang w:bidi="ar"/>
        </w:rPr>
        <w:t>个月的依法缴纳税收的证明文件（纳税凭证须加盖公章，无税收月份打印零申报表）；</w:t>
      </w:r>
    </w:p>
    <w:p w14:paraId="43B7C76B">
      <w:pPr>
        <w:pStyle w:val="21"/>
        <w:widowControl w:val="0"/>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4.具有履行合同所必须的专业技术能力（提供履约能力承诺函）；</w:t>
      </w:r>
    </w:p>
    <w:p w14:paraId="461C84C1">
      <w:pPr>
        <w:pStyle w:val="21"/>
        <w:widowControl w:val="0"/>
        <w:shd w:val="clear" w:color="auto" w:fill="FFFFFF"/>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5.近</w:t>
      </w:r>
      <w:r>
        <w:rPr>
          <w:rFonts w:hint="eastAsia" w:ascii="仿宋_GB2312" w:hAnsi="Times New Roman" w:eastAsia="仿宋_GB2312" w:cs="仿宋_GB2312"/>
          <w:color w:val="000000"/>
          <w:kern w:val="2"/>
          <w:sz w:val="28"/>
          <w:szCs w:val="28"/>
          <w:shd w:val="clear" w:color="auto" w:fill="auto"/>
          <w:lang w:val="en-US" w:eastAsia="zh-CN" w:bidi="ar"/>
        </w:rPr>
        <w:t>3</w:t>
      </w:r>
      <w:r>
        <w:rPr>
          <w:rFonts w:hint="eastAsia" w:ascii="仿宋_GB2312" w:hAnsi="Times New Roman" w:eastAsia="仿宋_GB2312" w:cs="仿宋_GB2312"/>
          <w:color w:val="000000"/>
          <w:kern w:val="2"/>
          <w:sz w:val="28"/>
          <w:szCs w:val="28"/>
          <w:shd w:val="clear" w:color="auto" w:fill="auto"/>
          <w:lang w:bidi="ar"/>
        </w:rPr>
        <w:t>年内，在经营活动</w:t>
      </w:r>
      <w:r>
        <w:rPr>
          <w:rFonts w:hint="eastAsia" w:ascii="仿宋_GB2312" w:hAnsi="Times New Roman" w:eastAsia="仿宋_GB2312" w:cs="仿宋_GB2312"/>
          <w:color w:val="000000"/>
          <w:kern w:val="2"/>
          <w:sz w:val="28"/>
          <w:szCs w:val="28"/>
          <w:shd w:val="clear" w:color="auto" w:fill="auto"/>
          <w:lang w:val="en-US" w:eastAsia="zh-CN" w:bidi="ar"/>
        </w:rPr>
        <w:t>中</w:t>
      </w:r>
      <w:r>
        <w:rPr>
          <w:rFonts w:hint="eastAsia" w:ascii="仿宋_GB2312" w:hAnsi="Times New Roman" w:eastAsia="仿宋_GB2312" w:cs="仿宋_GB2312"/>
          <w:color w:val="000000"/>
          <w:kern w:val="2"/>
          <w:sz w:val="28"/>
          <w:szCs w:val="28"/>
          <w:shd w:val="clear" w:color="auto" w:fill="auto"/>
          <w:lang w:eastAsia="zh-CN" w:bidi="ar"/>
        </w:rPr>
        <w:t>、</w:t>
      </w:r>
      <w:r>
        <w:rPr>
          <w:rFonts w:hint="eastAsia" w:ascii="仿宋_GB2312" w:hAnsi="Times New Roman" w:eastAsia="仿宋_GB2312" w:cs="仿宋_GB2312"/>
          <w:color w:val="000000"/>
          <w:kern w:val="2"/>
          <w:sz w:val="28"/>
          <w:szCs w:val="28"/>
          <w:shd w:val="clear" w:color="auto" w:fill="auto"/>
          <w:lang w:val="en-US" w:eastAsia="zh-CN" w:bidi="ar"/>
        </w:rPr>
        <w:t>参加采购活动</w:t>
      </w:r>
      <w:r>
        <w:rPr>
          <w:rFonts w:hint="eastAsia" w:ascii="仿宋_GB2312" w:hAnsi="Times New Roman" w:eastAsia="仿宋_GB2312" w:cs="仿宋_GB2312"/>
          <w:color w:val="000000"/>
          <w:kern w:val="2"/>
          <w:sz w:val="28"/>
          <w:szCs w:val="28"/>
          <w:shd w:val="clear" w:color="auto" w:fill="auto"/>
          <w:lang w:bidi="ar"/>
        </w:rPr>
        <w:t>中</w:t>
      </w:r>
      <w:r>
        <w:rPr>
          <w:rFonts w:hint="eastAsia" w:ascii="仿宋_GB2312" w:hAnsi="Times New Roman" w:eastAsia="仿宋_GB2312" w:cs="仿宋_GB2312"/>
          <w:color w:val="000000"/>
          <w:kern w:val="2"/>
          <w:sz w:val="28"/>
          <w:szCs w:val="28"/>
          <w:shd w:val="clear" w:color="auto" w:fill="auto"/>
          <w:lang w:eastAsia="zh-CN" w:bidi="ar"/>
        </w:rPr>
        <w:t>，</w:t>
      </w:r>
      <w:r>
        <w:rPr>
          <w:rFonts w:hint="eastAsia" w:ascii="仿宋_GB2312" w:hAnsi="Times New Roman" w:eastAsia="仿宋_GB2312" w:cs="仿宋_GB2312"/>
          <w:color w:val="000000"/>
          <w:kern w:val="2"/>
          <w:sz w:val="28"/>
          <w:szCs w:val="28"/>
          <w:shd w:val="clear" w:color="auto" w:fill="auto"/>
          <w:lang w:bidi="ar"/>
        </w:rPr>
        <w:t>没有重大违法</w:t>
      </w:r>
      <w:r>
        <w:rPr>
          <w:rFonts w:hint="eastAsia" w:ascii="仿宋_GB2312" w:hAnsi="Times New Roman" w:eastAsia="仿宋_GB2312" w:cs="仿宋_GB2312"/>
          <w:color w:val="000000"/>
          <w:kern w:val="2"/>
          <w:sz w:val="28"/>
          <w:szCs w:val="28"/>
          <w:shd w:val="clear" w:color="auto" w:fill="auto"/>
          <w:lang w:val="en-US" w:eastAsia="zh-CN" w:bidi="ar"/>
        </w:rPr>
        <w:t>违规</w:t>
      </w:r>
      <w:r>
        <w:rPr>
          <w:rFonts w:hint="eastAsia" w:ascii="仿宋_GB2312" w:hAnsi="Times New Roman" w:eastAsia="仿宋_GB2312" w:cs="仿宋_GB2312"/>
          <w:color w:val="000000"/>
          <w:kern w:val="2"/>
          <w:sz w:val="28"/>
          <w:szCs w:val="28"/>
          <w:shd w:val="clear" w:color="auto" w:fill="auto"/>
          <w:lang w:bidi="ar"/>
        </w:rPr>
        <w:t>记录（成立不足</w:t>
      </w:r>
      <w:r>
        <w:rPr>
          <w:rFonts w:hint="eastAsia" w:ascii="仿宋_GB2312" w:hAnsi="Times New Roman" w:eastAsia="仿宋_GB2312" w:cs="仿宋_GB2312"/>
          <w:color w:val="000000"/>
          <w:kern w:val="2"/>
          <w:sz w:val="28"/>
          <w:szCs w:val="28"/>
          <w:shd w:val="clear" w:color="auto" w:fill="auto"/>
          <w:lang w:val="en-US" w:eastAsia="zh-CN" w:bidi="ar"/>
        </w:rPr>
        <w:t>3</w:t>
      </w:r>
      <w:r>
        <w:rPr>
          <w:rFonts w:hint="eastAsia" w:ascii="仿宋_GB2312" w:hAnsi="Times New Roman" w:eastAsia="仿宋_GB2312" w:cs="仿宋_GB2312"/>
          <w:color w:val="000000"/>
          <w:kern w:val="2"/>
          <w:sz w:val="28"/>
          <w:szCs w:val="28"/>
          <w:shd w:val="clear" w:color="auto" w:fill="auto"/>
          <w:lang w:bidi="ar"/>
        </w:rPr>
        <w:t>年的从成立之日起计算，提供声明）；</w:t>
      </w:r>
    </w:p>
    <w:p w14:paraId="36683423">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6. 响应人未被列入中国执行信息公开网（http://zxgk.court.gov.cn）的“失信被执行人”、信用中国(www.creditchina.gov.cn)的“重大税收违法失信主体”、“政府采购严重违法失信名单”和中国政府采购网(www.ccgp.gov.cn)的“政府采购严重违法失信行为记录名单”等重大违法记录。（提供正确查询截图，未提供或未提供正确截图以采购人于谈判截止时间当天在上述网站查询结果为准，如在上述网站查询结果均显示没有相关记录，视为没有上述不良信用记录。）</w:t>
      </w:r>
    </w:p>
    <w:p w14:paraId="4A9D2656">
      <w:pPr>
        <w:pStyle w:val="21"/>
        <w:widowControl/>
        <w:shd w:val="clear" w:color="auto" w:fill="FFFFFF"/>
        <w:spacing w:before="0" w:beforeLines="0" w:beforeAutospacing="0" w:after="0" w:afterLines="0" w:afterAutospacing="0" w:line="576" w:lineRule="exact"/>
        <w:ind w:firstLine="640" w:firstLineChars="200"/>
        <w:textAlignment w:val="baseline"/>
        <w:outlineLvl w:val="1"/>
        <w:rPr>
          <w:rFonts w:hint="eastAsia" w:ascii="黑体" w:hAnsi="宋体" w:eastAsia="黑体" w:cs="黑体"/>
          <w:color w:val="000000"/>
          <w:kern w:val="2"/>
          <w:sz w:val="32"/>
          <w:szCs w:val="32"/>
          <w:shd w:val="clear" w:color="auto" w:fill="auto"/>
          <w:lang w:bidi="ar"/>
        </w:rPr>
      </w:pPr>
      <w:bookmarkStart w:id="16" w:name="_Toc198856063"/>
      <w:r>
        <w:rPr>
          <w:rFonts w:hint="eastAsia" w:ascii="黑体" w:hAnsi="宋体" w:eastAsia="黑体" w:cs="黑体"/>
          <w:color w:val="000000"/>
          <w:kern w:val="2"/>
          <w:sz w:val="32"/>
          <w:szCs w:val="32"/>
          <w:shd w:val="clear" w:color="auto" w:fill="auto"/>
          <w:lang w:val="en-US" w:eastAsia="zh-CN" w:bidi="ar"/>
        </w:rPr>
        <w:t>四</w:t>
      </w:r>
      <w:r>
        <w:rPr>
          <w:rFonts w:hint="eastAsia" w:ascii="黑体" w:hAnsi="宋体" w:eastAsia="黑体" w:cs="黑体"/>
          <w:color w:val="000000"/>
          <w:kern w:val="2"/>
          <w:sz w:val="32"/>
          <w:szCs w:val="32"/>
          <w:shd w:val="clear" w:color="auto" w:fill="auto"/>
          <w:lang w:bidi="ar"/>
        </w:rPr>
        <w:t>、谈判谈判文件的获取</w:t>
      </w:r>
      <w:bookmarkEnd w:id="16"/>
    </w:p>
    <w:p w14:paraId="38D07656">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bCs w:val="0"/>
          <w:color w:val="000000"/>
          <w:kern w:val="2"/>
          <w:sz w:val="28"/>
          <w:szCs w:val="28"/>
          <w:u w:val="none"/>
          <w:shd w:val="clear" w:color="auto" w:fill="auto"/>
          <w:lang w:bidi="ar"/>
        </w:rPr>
      </w:pPr>
      <w:r>
        <w:rPr>
          <w:rFonts w:hint="eastAsia" w:ascii="仿宋_GB2312" w:hAnsi="Times New Roman" w:eastAsia="仿宋_GB2312" w:cs="仿宋_GB2312"/>
          <w:bCs w:val="0"/>
          <w:color w:val="000000"/>
          <w:kern w:val="2"/>
          <w:sz w:val="28"/>
          <w:szCs w:val="28"/>
          <w:shd w:val="clear" w:color="auto" w:fill="auto"/>
          <w:lang w:bidi="ar"/>
        </w:rPr>
        <w:t>谈判文件</w:t>
      </w:r>
      <w:r>
        <w:rPr>
          <w:rFonts w:hint="eastAsia" w:ascii="仿宋_GB2312" w:hAnsi="Times New Roman" w:eastAsia="仿宋_GB2312" w:cs="仿宋_GB2312"/>
          <w:bCs w:val="0"/>
          <w:color w:val="000000"/>
          <w:kern w:val="2"/>
          <w:sz w:val="28"/>
          <w:szCs w:val="28"/>
          <w:shd w:val="clear" w:color="auto" w:fill="auto"/>
          <w:lang w:val="en-US" w:eastAsia="zh-CN" w:bidi="ar"/>
        </w:rPr>
        <w:t>获取方式</w:t>
      </w:r>
      <w:r>
        <w:rPr>
          <w:rFonts w:hint="eastAsia" w:ascii="仿宋_GB2312" w:hAnsi="Times New Roman" w:eastAsia="仿宋_GB2312" w:cs="仿宋_GB2312"/>
          <w:bCs w:val="0"/>
          <w:color w:val="000000"/>
          <w:kern w:val="2"/>
          <w:sz w:val="28"/>
          <w:szCs w:val="28"/>
          <w:shd w:val="clear" w:color="auto" w:fill="auto"/>
          <w:lang w:bidi="ar"/>
        </w:rPr>
        <w:t>：</w:t>
      </w:r>
      <w:r>
        <w:rPr>
          <w:rFonts w:hint="eastAsia" w:ascii="仿宋_GB2312" w:hAnsi="Times New Roman" w:eastAsia="仿宋_GB2312" w:cs="仿宋_GB2312"/>
          <w:bCs w:val="0"/>
          <w:color w:val="000000"/>
          <w:kern w:val="2"/>
          <w:sz w:val="28"/>
          <w:szCs w:val="28"/>
          <w:shd w:val="clear" w:color="auto" w:fill="auto"/>
          <w:lang w:val="en-US" w:eastAsia="zh-CN" w:bidi="ar"/>
        </w:rPr>
        <w:t>本项目发布谈判公告后，请在</w:t>
      </w:r>
      <w:r>
        <w:rPr>
          <w:rFonts w:hint="eastAsia" w:ascii="仿宋_GB2312" w:hAnsi="Times New Roman" w:eastAsia="仿宋_GB2312" w:cs="仿宋_GB2312"/>
          <w:b w:val="0"/>
          <w:bCs w:val="0"/>
          <w:color w:val="000000"/>
          <w:kern w:val="2"/>
          <w:sz w:val="28"/>
          <w:szCs w:val="28"/>
          <w:highlight w:val="none"/>
          <w:u w:val="none"/>
          <w:lang w:val="en-US" w:eastAsia="zh-CN" w:bidi="ar"/>
        </w:rPr>
        <w:fldChar w:fldCharType="begin"/>
      </w:r>
      <w:r>
        <w:rPr>
          <w:rFonts w:hint="eastAsia" w:ascii="仿宋_GB2312" w:hAnsi="Times New Roman" w:eastAsia="仿宋_GB2312" w:cs="仿宋_GB2312"/>
          <w:b w:val="0"/>
          <w:bCs w:val="0"/>
          <w:color w:val="000000"/>
          <w:kern w:val="2"/>
          <w:sz w:val="28"/>
          <w:szCs w:val="28"/>
          <w:highlight w:val="none"/>
          <w:u w:val="none"/>
          <w:lang w:val="en-US" w:eastAsia="zh-CN" w:bidi="ar"/>
        </w:rPr>
        <w:instrText xml:space="preserve"> HYPERLINK "http://www.hnhggp.com/" </w:instrText>
      </w:r>
      <w:r>
        <w:rPr>
          <w:rFonts w:hint="eastAsia" w:ascii="仿宋_GB2312" w:hAnsi="Times New Roman" w:eastAsia="仿宋_GB2312" w:cs="仿宋_GB2312"/>
          <w:b w:val="0"/>
          <w:bCs w:val="0"/>
          <w:color w:val="000000"/>
          <w:kern w:val="2"/>
          <w:sz w:val="28"/>
          <w:szCs w:val="28"/>
          <w:highlight w:val="none"/>
          <w:u w:val="none"/>
          <w:lang w:val="en-US" w:eastAsia="zh-CN" w:bidi="ar"/>
        </w:rPr>
        <w:fldChar w:fldCharType="separate"/>
      </w:r>
      <w:r>
        <w:rPr>
          <w:rFonts w:hint="eastAsia" w:ascii="仿宋_GB2312" w:hAnsi="Times New Roman" w:eastAsia="仿宋_GB2312" w:cs="仿宋_GB2312"/>
          <w:b w:val="0"/>
          <w:bCs w:val="0"/>
          <w:color w:val="000000"/>
          <w:kern w:val="2"/>
          <w:sz w:val="28"/>
          <w:szCs w:val="28"/>
          <w:highlight w:val="none"/>
          <w:u w:val="none"/>
          <w:lang w:val="en-US" w:eastAsia="zh-CN" w:bidi="ar"/>
        </w:rPr>
        <w:t>www.hnhggp.com</w:t>
      </w:r>
      <w:r>
        <w:rPr>
          <w:rFonts w:hint="eastAsia" w:ascii="仿宋_GB2312" w:hAnsi="Times New Roman" w:eastAsia="仿宋_GB2312" w:cs="仿宋_GB2312"/>
          <w:b w:val="0"/>
          <w:bCs w:val="0"/>
          <w:color w:val="000000"/>
          <w:kern w:val="2"/>
          <w:sz w:val="28"/>
          <w:szCs w:val="28"/>
          <w:highlight w:val="none"/>
          <w:u w:val="none"/>
          <w:lang w:val="en-US" w:eastAsia="zh-CN" w:bidi="ar"/>
        </w:rPr>
        <w:fldChar w:fldCharType="end"/>
      </w:r>
      <w:r>
        <w:rPr>
          <w:rFonts w:hint="eastAsia" w:ascii="仿宋_GB2312" w:hAnsi="Times New Roman" w:eastAsia="仿宋_GB2312" w:cs="仿宋_GB2312"/>
          <w:color w:val="000000"/>
          <w:kern w:val="2"/>
          <w:sz w:val="28"/>
          <w:szCs w:val="28"/>
          <w:highlight w:val="none"/>
          <w:u w:val="none"/>
          <w:lang w:val="en-US" w:eastAsia="zh-CN" w:bidi="ar"/>
        </w:rPr>
        <w:t>；</w:t>
      </w:r>
      <w:r>
        <w:rPr>
          <w:rFonts w:hint="eastAsia" w:ascii="仿宋_GB2312" w:hAnsi="Times New Roman" w:eastAsia="仿宋_GB2312" w:cs="仿宋_GB2312"/>
          <w:b w:val="0"/>
          <w:bCs w:val="0"/>
          <w:color w:val="000000"/>
          <w:kern w:val="2"/>
          <w:sz w:val="28"/>
          <w:szCs w:val="28"/>
          <w:highlight w:val="none"/>
          <w:u w:val="none"/>
          <w:lang w:val="en-US" w:eastAsia="zh-CN" w:bidi="ar"/>
        </w:rPr>
        <w:t>www.hncq.cn</w:t>
      </w:r>
      <w:r>
        <w:rPr>
          <w:rFonts w:hint="eastAsia" w:ascii="仿宋_GB2312" w:hAnsi="Times New Roman" w:eastAsia="仿宋_GB2312" w:cs="仿宋_GB2312"/>
          <w:b w:val="0"/>
          <w:bCs w:val="0"/>
          <w:color w:val="000000"/>
          <w:kern w:val="2"/>
          <w:sz w:val="28"/>
          <w:szCs w:val="28"/>
          <w:highlight w:val="none"/>
          <w:u w:val="none"/>
          <w:shd w:val="clear" w:color="auto" w:fill="auto"/>
          <w:lang w:val="en-US" w:eastAsia="zh-CN" w:bidi="ar"/>
        </w:rPr>
        <w:t>网站下载谈判文件及相关资料</w:t>
      </w:r>
      <w:r>
        <w:rPr>
          <w:rFonts w:hint="eastAsia" w:ascii="仿宋_GB2312" w:hAnsi="Times New Roman" w:eastAsia="仿宋_GB2312" w:cs="仿宋_GB2312"/>
          <w:bCs w:val="0"/>
          <w:color w:val="000000"/>
          <w:kern w:val="2"/>
          <w:sz w:val="28"/>
          <w:szCs w:val="28"/>
          <w:shd w:val="clear" w:color="auto" w:fill="auto"/>
          <w:lang w:bidi="ar"/>
        </w:rPr>
        <w:t>。</w:t>
      </w:r>
    </w:p>
    <w:p w14:paraId="7AD27857">
      <w:pPr>
        <w:pStyle w:val="21"/>
        <w:widowControl/>
        <w:shd w:val="clear" w:color="auto" w:fill="FFFFFF"/>
        <w:spacing w:before="0" w:beforeLines="0" w:beforeAutospacing="0" w:after="0" w:afterLines="0" w:afterAutospacing="0" w:line="576" w:lineRule="exact"/>
        <w:ind w:firstLine="640" w:firstLineChars="200"/>
        <w:jc w:val="left"/>
        <w:textAlignment w:val="baseline"/>
        <w:outlineLvl w:val="1"/>
        <w:rPr>
          <w:rFonts w:hint="eastAsia" w:ascii="黑体" w:hAnsi="宋体" w:eastAsia="黑体" w:cs="黑体"/>
          <w:color w:val="000000"/>
          <w:kern w:val="2"/>
          <w:sz w:val="32"/>
          <w:szCs w:val="32"/>
          <w:shd w:val="clear" w:color="auto" w:fill="auto"/>
          <w:lang w:bidi="ar"/>
        </w:rPr>
      </w:pPr>
      <w:bookmarkStart w:id="17" w:name="_Toc198856064"/>
      <w:r>
        <w:rPr>
          <w:rFonts w:hint="eastAsia" w:ascii="黑体" w:hAnsi="宋体" w:eastAsia="黑体" w:cs="黑体"/>
          <w:color w:val="000000"/>
          <w:kern w:val="2"/>
          <w:sz w:val="32"/>
          <w:szCs w:val="32"/>
          <w:shd w:val="clear" w:color="auto" w:fill="auto"/>
          <w:lang w:val="en-US" w:eastAsia="zh-CN" w:bidi="ar"/>
        </w:rPr>
        <w:t>五</w:t>
      </w:r>
      <w:r>
        <w:rPr>
          <w:rFonts w:hint="eastAsia" w:ascii="黑体" w:hAnsi="宋体" w:eastAsia="黑体" w:cs="黑体"/>
          <w:color w:val="000000"/>
          <w:kern w:val="2"/>
          <w:sz w:val="32"/>
          <w:szCs w:val="32"/>
          <w:shd w:val="clear" w:color="auto" w:fill="auto"/>
          <w:lang w:bidi="ar"/>
        </w:rPr>
        <w:t>、文件的递交</w:t>
      </w:r>
      <w:bookmarkEnd w:id="17"/>
    </w:p>
    <w:p w14:paraId="634DCBFB">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shd w:val="clear" w:color="auto" w:fill="auto"/>
          <w:lang w:bidi="ar"/>
        </w:rPr>
        <w:t>1.谈判响应文件递交截止时间：202</w:t>
      </w:r>
      <w:r>
        <w:rPr>
          <w:rFonts w:hint="eastAsia" w:ascii="仿宋_GB2312" w:hAnsi="Times New Roman" w:eastAsia="仿宋_GB2312" w:cs="仿宋_GB2312"/>
          <w:color w:val="000000"/>
          <w:kern w:val="2"/>
          <w:sz w:val="28"/>
          <w:szCs w:val="28"/>
          <w:shd w:val="clear" w:color="auto" w:fill="auto"/>
          <w:lang w:val="en-US" w:eastAsia="zh-CN" w:bidi="ar"/>
        </w:rPr>
        <w:t>5</w:t>
      </w:r>
      <w:r>
        <w:rPr>
          <w:rFonts w:hint="eastAsia" w:ascii="仿宋_GB2312" w:hAnsi="Times New Roman" w:eastAsia="仿宋_GB2312" w:cs="仿宋_GB2312"/>
          <w:color w:val="000000"/>
          <w:kern w:val="2"/>
          <w:sz w:val="28"/>
          <w:szCs w:val="28"/>
          <w:shd w:val="clear" w:color="auto" w:fill="auto"/>
          <w:lang w:bidi="ar"/>
        </w:rPr>
        <w:t>年</w:t>
      </w:r>
      <w:r>
        <w:rPr>
          <w:rFonts w:hint="eastAsia" w:ascii="仿宋_GB2312" w:hAnsi="Times New Roman" w:eastAsia="仿宋_GB2312" w:cs="仿宋_GB2312"/>
          <w:bCs w:val="0"/>
          <w:color w:val="000000"/>
          <w:kern w:val="2"/>
          <w:sz w:val="28"/>
          <w:szCs w:val="28"/>
          <w:shd w:val="clear" w:color="auto" w:fill="auto"/>
          <w:lang w:val="en-US" w:eastAsia="zh-CN" w:bidi="ar"/>
        </w:rPr>
        <w:t>08</w:t>
      </w:r>
      <w:r>
        <w:rPr>
          <w:rFonts w:hint="eastAsia" w:ascii="仿宋_GB2312" w:hAnsi="Times New Roman" w:eastAsia="仿宋_GB2312" w:cs="仿宋_GB2312"/>
          <w:color w:val="000000"/>
          <w:kern w:val="2"/>
          <w:sz w:val="28"/>
          <w:szCs w:val="28"/>
          <w:shd w:val="clear" w:color="auto" w:fill="auto"/>
          <w:lang w:bidi="ar"/>
        </w:rPr>
        <w:t>月</w:t>
      </w:r>
      <w:r>
        <w:rPr>
          <w:rFonts w:hint="eastAsia" w:ascii="仿宋_GB2312" w:hAnsi="Times New Roman" w:eastAsia="仿宋_GB2312" w:cs="仿宋_GB2312"/>
          <w:bCs w:val="0"/>
          <w:color w:val="000000"/>
          <w:kern w:val="2"/>
          <w:sz w:val="28"/>
          <w:szCs w:val="28"/>
          <w:shd w:val="clear" w:color="auto" w:fill="auto"/>
          <w:lang w:val="en-US" w:eastAsia="zh-CN" w:bidi="ar"/>
        </w:rPr>
        <w:t>28</w:t>
      </w:r>
      <w:r>
        <w:rPr>
          <w:rFonts w:hint="eastAsia" w:ascii="仿宋_GB2312" w:hAnsi="Times New Roman" w:eastAsia="仿宋_GB2312" w:cs="仿宋_GB2312"/>
          <w:color w:val="000000"/>
          <w:kern w:val="2"/>
          <w:sz w:val="28"/>
          <w:szCs w:val="28"/>
          <w:shd w:val="clear" w:color="auto" w:fill="auto"/>
          <w:lang w:bidi="ar"/>
        </w:rPr>
        <w:t>日</w:t>
      </w:r>
      <w:r>
        <w:rPr>
          <w:rFonts w:hint="eastAsia" w:ascii="仿宋_GB2312" w:hAnsi="Times New Roman" w:eastAsia="仿宋_GB2312" w:cs="仿宋_GB2312"/>
          <w:color w:val="000000"/>
          <w:kern w:val="2"/>
          <w:sz w:val="28"/>
          <w:szCs w:val="28"/>
          <w:shd w:val="clear" w:color="auto" w:fill="auto"/>
          <w:lang w:val="en-US" w:eastAsia="zh-CN" w:bidi="ar"/>
        </w:rPr>
        <w:t>17</w:t>
      </w:r>
      <w:r>
        <w:rPr>
          <w:rFonts w:hint="eastAsia" w:ascii="仿宋_GB2312" w:hAnsi="Times New Roman" w:eastAsia="仿宋_GB2312" w:cs="仿宋_GB2312"/>
          <w:color w:val="000000"/>
          <w:kern w:val="2"/>
          <w:sz w:val="28"/>
          <w:szCs w:val="28"/>
          <w:shd w:val="clear" w:color="auto" w:fill="auto"/>
          <w:lang w:bidi="ar"/>
        </w:rPr>
        <w:t>时</w:t>
      </w:r>
      <w:r>
        <w:rPr>
          <w:rFonts w:hint="eastAsia" w:ascii="仿宋_GB2312" w:hAnsi="Times New Roman" w:eastAsia="仿宋_GB2312" w:cs="仿宋_GB2312"/>
          <w:color w:val="000000"/>
          <w:kern w:val="2"/>
          <w:sz w:val="28"/>
          <w:szCs w:val="28"/>
          <w:shd w:val="clear" w:color="auto" w:fill="auto"/>
          <w:lang w:val="en-US" w:eastAsia="zh-CN" w:bidi="ar"/>
        </w:rPr>
        <w:t>30</w:t>
      </w:r>
      <w:r>
        <w:rPr>
          <w:rFonts w:hint="eastAsia" w:ascii="仿宋_GB2312" w:hAnsi="Times New Roman" w:eastAsia="仿宋_GB2312" w:cs="仿宋_GB2312"/>
          <w:color w:val="000000"/>
          <w:kern w:val="2"/>
          <w:sz w:val="28"/>
          <w:szCs w:val="28"/>
          <w:shd w:val="clear" w:color="auto" w:fill="auto"/>
          <w:lang w:bidi="ar"/>
        </w:rPr>
        <w:t>分（北京时间）（逾期或不符合规定的响应文件恕不接受）</w:t>
      </w:r>
    </w:p>
    <w:p w14:paraId="4E27EFE0">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bCs w:val="0"/>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2.文件递交地点：</w:t>
      </w:r>
      <w:r>
        <w:rPr>
          <w:rFonts w:hint="eastAsia" w:ascii="仿宋_GB2312" w:hAnsi="Times New Roman" w:eastAsia="仿宋_GB2312" w:cs="仿宋_GB2312"/>
          <w:color w:val="000000"/>
          <w:kern w:val="2"/>
          <w:sz w:val="28"/>
          <w:szCs w:val="28"/>
          <w:u w:val="none"/>
          <w:shd w:val="clear" w:color="auto" w:fill="auto"/>
          <w:lang w:bidi="ar"/>
        </w:rPr>
        <w:t>海南省</w:t>
      </w:r>
      <w:r>
        <w:rPr>
          <w:rFonts w:hint="eastAsia" w:ascii="仿宋_GB2312" w:hAnsi="Times New Roman" w:eastAsia="仿宋_GB2312" w:cs="仿宋_GB2312"/>
          <w:color w:val="000000"/>
          <w:kern w:val="2"/>
          <w:sz w:val="28"/>
          <w:szCs w:val="28"/>
          <w:u w:val="none"/>
          <w:shd w:val="clear" w:color="auto" w:fill="auto"/>
          <w:lang w:val="en-US" w:eastAsia="zh-CN" w:bidi="ar"/>
        </w:rPr>
        <w:t>海口市龙华区滨海大道37号海银大厦24楼</w:t>
      </w:r>
      <w:r>
        <w:rPr>
          <w:rFonts w:hint="eastAsia" w:ascii="仿宋_GB2312" w:hAnsi="Times New Roman" w:eastAsia="仿宋_GB2312" w:cs="仿宋_GB2312"/>
          <w:bCs w:val="0"/>
          <w:color w:val="000000"/>
          <w:kern w:val="2"/>
          <w:sz w:val="28"/>
          <w:szCs w:val="28"/>
          <w:shd w:val="clear" w:color="auto" w:fill="auto"/>
          <w:lang w:bidi="ar"/>
        </w:rPr>
        <w:t>。</w:t>
      </w:r>
    </w:p>
    <w:p w14:paraId="59AA6273">
      <w:pPr>
        <w:pStyle w:val="21"/>
        <w:widowControl/>
        <w:shd w:val="clear" w:color="auto" w:fill="FFFFFF"/>
        <w:spacing w:before="0" w:beforeLines="0" w:beforeAutospacing="0" w:after="0" w:afterLines="0" w:afterAutospacing="0" w:line="576" w:lineRule="exact"/>
        <w:ind w:firstLine="640" w:firstLineChars="200"/>
        <w:jc w:val="left"/>
        <w:textAlignment w:val="baseline"/>
        <w:outlineLvl w:val="1"/>
        <w:rPr>
          <w:rFonts w:hint="eastAsia" w:ascii="黑体" w:hAnsi="宋体" w:eastAsia="黑体" w:cs="黑体"/>
          <w:color w:val="000000"/>
          <w:kern w:val="2"/>
          <w:sz w:val="32"/>
          <w:szCs w:val="32"/>
          <w:shd w:val="clear" w:color="auto" w:fill="auto"/>
          <w:lang w:bidi="ar"/>
        </w:rPr>
      </w:pPr>
      <w:bookmarkStart w:id="18" w:name="_Toc198856065"/>
      <w:r>
        <w:rPr>
          <w:rFonts w:hint="eastAsia" w:ascii="黑体" w:hAnsi="宋体" w:eastAsia="黑体" w:cs="黑体"/>
          <w:color w:val="000000"/>
          <w:kern w:val="2"/>
          <w:sz w:val="32"/>
          <w:szCs w:val="32"/>
          <w:shd w:val="clear" w:color="auto" w:fill="auto"/>
          <w:lang w:val="en-US" w:eastAsia="zh-CN" w:bidi="ar"/>
        </w:rPr>
        <w:t>六</w:t>
      </w:r>
      <w:r>
        <w:rPr>
          <w:rFonts w:hint="eastAsia" w:ascii="黑体" w:hAnsi="宋体" w:eastAsia="黑体" w:cs="黑体"/>
          <w:color w:val="000000"/>
          <w:kern w:val="2"/>
          <w:sz w:val="32"/>
          <w:szCs w:val="32"/>
          <w:shd w:val="clear" w:color="auto" w:fill="auto"/>
          <w:lang w:bidi="ar"/>
        </w:rPr>
        <w:t>、开启</w:t>
      </w:r>
      <w:bookmarkEnd w:id="18"/>
    </w:p>
    <w:p w14:paraId="51477E6C">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1.谈判程序开启时间：2025年</w:t>
      </w:r>
      <w:r>
        <w:rPr>
          <w:rFonts w:hint="eastAsia" w:ascii="仿宋_GB2312" w:hAnsi="Times New Roman" w:eastAsia="仿宋_GB2312" w:cs="仿宋_GB2312"/>
          <w:bCs w:val="0"/>
          <w:color w:val="000000"/>
          <w:kern w:val="2"/>
          <w:sz w:val="28"/>
          <w:szCs w:val="28"/>
          <w:shd w:val="clear" w:color="auto" w:fill="auto"/>
          <w:lang w:val="en-US" w:eastAsia="zh-CN" w:bidi="ar"/>
        </w:rPr>
        <w:t>8</w:t>
      </w:r>
      <w:r>
        <w:rPr>
          <w:rFonts w:hint="eastAsia" w:ascii="仿宋_GB2312" w:hAnsi="Times New Roman" w:eastAsia="仿宋_GB2312" w:cs="仿宋_GB2312"/>
          <w:color w:val="000000"/>
          <w:kern w:val="2"/>
          <w:sz w:val="28"/>
          <w:szCs w:val="28"/>
          <w:shd w:val="clear" w:color="auto" w:fill="auto"/>
          <w:lang w:bidi="ar"/>
        </w:rPr>
        <w:t>月</w:t>
      </w:r>
      <w:r>
        <w:rPr>
          <w:rFonts w:hint="eastAsia" w:ascii="仿宋_GB2312" w:hAnsi="Times New Roman" w:eastAsia="仿宋_GB2312" w:cs="仿宋_GB2312"/>
          <w:bCs w:val="0"/>
          <w:color w:val="000000"/>
          <w:kern w:val="2"/>
          <w:sz w:val="28"/>
          <w:szCs w:val="28"/>
          <w:shd w:val="clear" w:color="auto" w:fill="auto"/>
          <w:lang w:val="en-US" w:eastAsia="zh-CN" w:bidi="ar"/>
        </w:rPr>
        <w:t>29</w:t>
      </w:r>
      <w:r>
        <w:rPr>
          <w:rFonts w:hint="eastAsia" w:ascii="仿宋_GB2312" w:hAnsi="Times New Roman" w:eastAsia="仿宋_GB2312" w:cs="仿宋_GB2312"/>
          <w:color w:val="000000"/>
          <w:kern w:val="2"/>
          <w:sz w:val="28"/>
          <w:szCs w:val="28"/>
          <w:shd w:val="clear" w:color="auto" w:fill="auto"/>
          <w:lang w:bidi="ar"/>
        </w:rPr>
        <w:t>日9时0分（北京时间）</w:t>
      </w:r>
    </w:p>
    <w:p w14:paraId="563669B9">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2.地点：</w:t>
      </w:r>
      <w:r>
        <w:rPr>
          <w:rFonts w:hint="eastAsia" w:ascii="仿宋_GB2312" w:hAnsi="Times New Roman" w:eastAsia="仿宋_GB2312" w:cs="仿宋_GB2312"/>
          <w:color w:val="000000"/>
          <w:kern w:val="2"/>
          <w:sz w:val="28"/>
          <w:szCs w:val="28"/>
          <w:u w:val="none"/>
          <w:shd w:val="clear" w:color="auto" w:fill="auto"/>
          <w:lang w:bidi="ar"/>
        </w:rPr>
        <w:t>海南省</w:t>
      </w:r>
      <w:r>
        <w:rPr>
          <w:rFonts w:hint="eastAsia" w:ascii="仿宋_GB2312" w:hAnsi="Times New Roman" w:eastAsia="仿宋_GB2312" w:cs="仿宋_GB2312"/>
          <w:color w:val="000000"/>
          <w:kern w:val="2"/>
          <w:sz w:val="28"/>
          <w:szCs w:val="28"/>
          <w:u w:val="none"/>
          <w:shd w:val="clear" w:color="auto" w:fill="auto"/>
          <w:lang w:val="en-US" w:eastAsia="zh-CN" w:bidi="ar"/>
        </w:rPr>
        <w:t>海口市龙华区滨海大道37号海银大厦24楼</w:t>
      </w:r>
      <w:r>
        <w:rPr>
          <w:rFonts w:hint="eastAsia" w:ascii="仿宋_GB2312" w:hAnsi="Times New Roman" w:eastAsia="仿宋_GB2312" w:cs="仿宋_GB2312"/>
          <w:bCs w:val="0"/>
          <w:color w:val="000000"/>
          <w:kern w:val="2"/>
          <w:sz w:val="28"/>
          <w:szCs w:val="28"/>
          <w:shd w:val="clear" w:color="auto" w:fill="auto"/>
          <w:lang w:bidi="ar"/>
        </w:rPr>
        <w:t>。</w:t>
      </w:r>
    </w:p>
    <w:p w14:paraId="3DAA94D0">
      <w:pPr>
        <w:pStyle w:val="21"/>
        <w:widowControl/>
        <w:shd w:val="clear" w:color="auto" w:fill="FFFFFF"/>
        <w:spacing w:before="0" w:beforeLines="0" w:beforeAutospacing="0" w:after="0" w:afterLines="0" w:afterAutospacing="0" w:line="576" w:lineRule="exact"/>
        <w:ind w:firstLine="640" w:firstLineChars="200"/>
        <w:jc w:val="left"/>
        <w:textAlignment w:val="baseline"/>
        <w:outlineLvl w:val="1"/>
        <w:rPr>
          <w:rFonts w:hint="eastAsia" w:ascii="黑体" w:hAnsi="宋体" w:eastAsia="黑体" w:cs="黑体"/>
          <w:color w:val="000000"/>
          <w:kern w:val="2"/>
          <w:sz w:val="32"/>
          <w:szCs w:val="32"/>
          <w:shd w:val="clear" w:color="auto" w:fill="auto"/>
          <w:lang w:bidi="ar"/>
        </w:rPr>
      </w:pPr>
      <w:bookmarkStart w:id="19" w:name="_Toc198856066"/>
      <w:r>
        <w:rPr>
          <w:rFonts w:hint="eastAsia" w:ascii="黑体" w:hAnsi="宋体" w:eastAsia="黑体" w:cs="黑体"/>
          <w:color w:val="000000"/>
          <w:kern w:val="2"/>
          <w:sz w:val="32"/>
          <w:szCs w:val="32"/>
          <w:shd w:val="clear" w:color="auto" w:fill="auto"/>
          <w:lang w:val="en-US" w:eastAsia="zh-CN" w:bidi="ar"/>
        </w:rPr>
        <w:t>七</w:t>
      </w:r>
      <w:r>
        <w:rPr>
          <w:rFonts w:hint="eastAsia" w:ascii="黑体" w:hAnsi="宋体" w:eastAsia="黑体" w:cs="黑体"/>
          <w:color w:val="000000"/>
          <w:kern w:val="2"/>
          <w:sz w:val="32"/>
          <w:szCs w:val="32"/>
          <w:shd w:val="clear" w:color="auto" w:fill="auto"/>
          <w:lang w:bidi="ar"/>
        </w:rPr>
        <w:t>、公告期限</w:t>
      </w:r>
      <w:bookmarkEnd w:id="19"/>
    </w:p>
    <w:p w14:paraId="17804DED">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shd w:val="clear" w:color="auto" w:fill="auto"/>
          <w:lang w:bidi="ar"/>
        </w:rPr>
        <w:t>本公告截止日与谈判响应文件递交截止时间相同。</w:t>
      </w:r>
    </w:p>
    <w:p w14:paraId="2420D18A">
      <w:pPr>
        <w:pStyle w:val="21"/>
        <w:widowControl/>
        <w:shd w:val="clear" w:color="auto" w:fill="FFFFFF"/>
        <w:spacing w:before="0" w:beforeLines="0" w:beforeAutospacing="0" w:after="0" w:afterLines="0" w:afterAutospacing="0" w:line="576" w:lineRule="exact"/>
        <w:ind w:firstLine="640" w:firstLineChars="200"/>
        <w:jc w:val="left"/>
        <w:textAlignment w:val="baseline"/>
        <w:outlineLvl w:val="1"/>
        <w:rPr>
          <w:rFonts w:hint="eastAsia" w:ascii="黑体" w:hAnsi="宋体" w:eastAsia="黑体" w:cs="黑体"/>
          <w:color w:val="000000"/>
          <w:kern w:val="2"/>
          <w:sz w:val="32"/>
          <w:szCs w:val="32"/>
          <w:shd w:val="clear" w:color="auto" w:fill="auto"/>
          <w:lang w:bidi="ar"/>
        </w:rPr>
      </w:pPr>
      <w:bookmarkStart w:id="20" w:name="_Toc198856067"/>
      <w:r>
        <w:rPr>
          <w:rFonts w:hint="eastAsia" w:ascii="黑体" w:hAnsi="宋体" w:eastAsia="黑体" w:cs="黑体"/>
          <w:color w:val="000000"/>
          <w:kern w:val="2"/>
          <w:sz w:val="32"/>
          <w:szCs w:val="32"/>
          <w:shd w:val="clear" w:color="auto" w:fill="auto"/>
          <w:lang w:val="en-US" w:eastAsia="zh-CN" w:bidi="ar"/>
        </w:rPr>
        <w:t>八</w:t>
      </w:r>
      <w:r>
        <w:rPr>
          <w:rFonts w:hint="eastAsia" w:ascii="黑体" w:hAnsi="宋体" w:eastAsia="黑体" w:cs="黑体"/>
          <w:color w:val="000000"/>
          <w:kern w:val="2"/>
          <w:sz w:val="32"/>
          <w:szCs w:val="32"/>
          <w:shd w:val="clear" w:color="auto" w:fill="auto"/>
          <w:lang w:bidi="ar"/>
        </w:rPr>
        <w:t>、其他补充事宜</w:t>
      </w:r>
      <w:bookmarkEnd w:id="20"/>
    </w:p>
    <w:p w14:paraId="66EA4990">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lang w:bidi="ar"/>
        </w:rPr>
      </w:pPr>
      <w:bookmarkStart w:id="21" w:name="_Toc198856068"/>
      <w:r>
        <w:rPr>
          <w:rFonts w:hint="eastAsia" w:ascii="仿宋_GB2312" w:hAnsi="Times New Roman" w:eastAsia="仿宋_GB2312" w:cs="仿宋_GB2312"/>
          <w:color w:val="000000"/>
          <w:kern w:val="2"/>
          <w:sz w:val="28"/>
          <w:szCs w:val="28"/>
          <w:lang w:bidi="ar"/>
        </w:rPr>
        <w:t>本项目采购信息指定发布媒体为：</w:t>
      </w:r>
      <w:r>
        <w:rPr>
          <w:rFonts w:hint="eastAsia" w:ascii="仿宋_GB2312" w:hAnsi="Times New Roman" w:eastAsia="仿宋_GB2312" w:cs="仿宋_GB2312"/>
          <w:b w:val="0"/>
          <w:bCs w:val="0"/>
          <w:color w:val="000000"/>
          <w:kern w:val="2"/>
          <w:sz w:val="28"/>
          <w:szCs w:val="28"/>
          <w:u w:val="none"/>
          <w:lang w:bidi="ar"/>
        </w:rPr>
        <w:t>www.hnhggp.com</w:t>
      </w:r>
      <w:r>
        <w:rPr>
          <w:rFonts w:hint="eastAsia" w:ascii="仿宋_GB2312" w:hAnsi="Times New Roman" w:eastAsia="仿宋_GB2312" w:cs="仿宋_GB2312"/>
          <w:b w:val="0"/>
          <w:bCs w:val="0"/>
          <w:color w:val="000000"/>
          <w:kern w:val="2"/>
          <w:sz w:val="28"/>
          <w:szCs w:val="28"/>
          <w:u w:val="none"/>
          <w:lang w:eastAsia="zh-CN" w:bidi="ar"/>
        </w:rPr>
        <w:t>；</w:t>
      </w:r>
      <w:r>
        <w:rPr>
          <w:rFonts w:hint="eastAsia" w:ascii="仿宋_GB2312" w:hAnsi="Times New Roman" w:eastAsia="仿宋_GB2312" w:cs="仿宋_GB2312"/>
          <w:b w:val="0"/>
          <w:bCs w:val="0"/>
          <w:color w:val="000000"/>
          <w:kern w:val="2"/>
          <w:sz w:val="28"/>
          <w:szCs w:val="28"/>
          <w:highlight w:val="none"/>
          <w:u w:val="none"/>
          <w:lang w:val="en-US" w:eastAsia="zh-CN" w:bidi="ar"/>
        </w:rPr>
        <w:t>www.hncq.cn</w:t>
      </w:r>
      <w:r>
        <w:rPr>
          <w:rFonts w:hint="eastAsia" w:ascii="仿宋_GB2312" w:hAnsi="Times New Roman" w:eastAsia="仿宋_GB2312" w:cs="仿宋_GB2312"/>
          <w:color w:val="000000"/>
          <w:kern w:val="2"/>
          <w:sz w:val="28"/>
          <w:szCs w:val="28"/>
          <w:lang w:bidi="ar"/>
        </w:rPr>
        <w:t>，有关本项目谈判文件的补遗、澄清及变更信息以上述网站公告内容为准，当谈判文件与更正公告的内容相互矛盾时，以最后发出的更正公告内容为准。</w:t>
      </w:r>
    </w:p>
    <w:p w14:paraId="1C77A5FE">
      <w:pPr>
        <w:pStyle w:val="21"/>
        <w:widowControl/>
        <w:shd w:val="clear" w:color="auto" w:fill="FFFFFF"/>
        <w:spacing w:before="0" w:beforeLines="0" w:beforeAutospacing="0" w:after="0" w:afterLines="0" w:afterAutospacing="0" w:line="576" w:lineRule="exact"/>
        <w:ind w:firstLine="640" w:firstLineChars="200"/>
        <w:jc w:val="left"/>
        <w:textAlignment w:val="baseline"/>
        <w:outlineLvl w:val="1"/>
        <w:rPr>
          <w:rFonts w:hint="eastAsia" w:ascii="黑体" w:hAnsi="宋体" w:eastAsia="黑体" w:cs="黑体"/>
          <w:color w:val="000000"/>
          <w:kern w:val="2"/>
          <w:sz w:val="32"/>
          <w:szCs w:val="32"/>
          <w:shd w:val="clear" w:color="auto" w:fill="auto"/>
          <w:lang w:bidi="ar"/>
        </w:rPr>
      </w:pPr>
      <w:r>
        <w:rPr>
          <w:rFonts w:hint="eastAsia" w:ascii="黑体" w:hAnsi="宋体" w:eastAsia="黑体" w:cs="黑体"/>
          <w:color w:val="000000"/>
          <w:kern w:val="2"/>
          <w:sz w:val="32"/>
          <w:szCs w:val="32"/>
          <w:shd w:val="clear" w:color="auto" w:fill="auto"/>
          <w:lang w:val="en-US" w:eastAsia="zh-CN" w:bidi="ar"/>
        </w:rPr>
        <w:t>九</w:t>
      </w:r>
      <w:r>
        <w:rPr>
          <w:rFonts w:hint="eastAsia" w:ascii="黑体" w:hAnsi="宋体" w:eastAsia="黑体" w:cs="黑体"/>
          <w:color w:val="000000"/>
          <w:kern w:val="2"/>
          <w:sz w:val="32"/>
          <w:szCs w:val="32"/>
          <w:shd w:val="clear" w:color="auto" w:fill="auto"/>
          <w:lang w:bidi="ar"/>
        </w:rPr>
        <w:t>、联系方式</w:t>
      </w:r>
      <w:bookmarkEnd w:id="21"/>
    </w:p>
    <w:p w14:paraId="730F2067">
      <w:pPr>
        <w:pStyle w:val="21"/>
        <w:widowControl w:val="0"/>
        <w:shd w:val="clear" w:color="auto" w:fill="FFFFFF"/>
        <w:wordWrap w:val="0"/>
        <w:spacing w:before="0" w:beforeLines="0" w:beforeAutospacing="0" w:after="0" w:afterLines="0" w:afterAutospacing="0" w:line="576" w:lineRule="exact"/>
        <w:ind w:firstLine="562" w:firstLineChars="200"/>
        <w:jc w:val="both"/>
        <w:textAlignment w:val="baseline"/>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shd w:val="clear" w:color="auto" w:fill="auto"/>
          <w:lang w:bidi="ar"/>
        </w:rPr>
        <w:t>（一）采购人信息</w:t>
      </w:r>
    </w:p>
    <w:p w14:paraId="44FF3BB6">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名 称：</w:t>
      </w:r>
      <w:r>
        <w:rPr>
          <w:rFonts w:hint="eastAsia" w:ascii="仿宋_GB2312" w:hAnsi="Times New Roman" w:eastAsia="仿宋_GB2312" w:cs="仿宋_GB2312"/>
          <w:color w:val="000000"/>
          <w:kern w:val="2"/>
          <w:sz w:val="28"/>
          <w:szCs w:val="28"/>
          <w:u w:val="none"/>
          <w:shd w:val="clear" w:color="auto" w:fill="auto"/>
          <w:lang w:bidi="ar"/>
        </w:rPr>
        <w:t>海南海钢集团有限公司</w:t>
      </w:r>
    </w:p>
    <w:p w14:paraId="3EA11B81">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地 址：</w:t>
      </w:r>
      <w:r>
        <w:rPr>
          <w:rFonts w:hint="eastAsia" w:ascii="仿宋_GB2312" w:hAnsi="Times New Roman" w:eastAsia="仿宋_GB2312" w:cs="仿宋_GB2312"/>
          <w:color w:val="000000"/>
          <w:kern w:val="2"/>
          <w:sz w:val="28"/>
          <w:szCs w:val="28"/>
          <w:u w:val="none"/>
          <w:shd w:val="clear" w:color="auto" w:fill="auto"/>
          <w:lang w:bidi="ar"/>
        </w:rPr>
        <w:t>海南省昌江黎族自治县石碌镇迎宾路6号</w:t>
      </w:r>
    </w:p>
    <w:p w14:paraId="1E74854D">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u w:val="none"/>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电 话：</w:t>
      </w:r>
      <w:r>
        <w:rPr>
          <w:rFonts w:hint="eastAsia" w:ascii="仿宋_GB2312" w:hAnsi="Times New Roman" w:eastAsia="仿宋_GB2312" w:cs="仿宋_GB2312"/>
          <w:color w:val="000000"/>
          <w:kern w:val="2"/>
          <w:sz w:val="28"/>
          <w:szCs w:val="28"/>
          <w:u w:val="none"/>
          <w:shd w:val="clear" w:color="auto" w:fill="auto"/>
          <w:lang w:bidi="ar"/>
        </w:rPr>
        <w:t>0898-26605346</w:t>
      </w:r>
    </w:p>
    <w:p w14:paraId="204770F8">
      <w:pPr>
        <w:pStyle w:val="21"/>
        <w:widowControl w:val="0"/>
        <w:shd w:val="clear" w:color="auto" w:fill="FFFFFF"/>
        <w:wordWrap w:val="0"/>
        <w:spacing w:before="0" w:beforeLines="0" w:beforeAutospacing="0" w:after="0" w:afterLines="0" w:afterAutospacing="0" w:line="576" w:lineRule="exact"/>
        <w:ind w:firstLine="562" w:firstLineChars="200"/>
        <w:jc w:val="both"/>
        <w:textAlignment w:val="baseline"/>
        <w:rPr>
          <w:rFonts w:hint="eastAsia" w:ascii="仿宋_GB2312" w:hAnsi="Times New Roman" w:eastAsia="仿宋_GB2312" w:cs="仿宋_GB2312"/>
          <w:b/>
          <w:bCs/>
          <w:color w:val="000000"/>
          <w:kern w:val="2"/>
          <w:sz w:val="28"/>
          <w:szCs w:val="28"/>
          <w:shd w:val="clear" w:color="auto" w:fill="auto"/>
          <w:lang w:bidi="ar"/>
        </w:rPr>
      </w:pPr>
      <w:r>
        <w:rPr>
          <w:rFonts w:hint="eastAsia" w:ascii="仿宋_GB2312" w:hAnsi="Times New Roman" w:eastAsia="仿宋_GB2312" w:cs="仿宋_GB2312"/>
          <w:b/>
          <w:bCs/>
          <w:color w:val="000000"/>
          <w:kern w:val="2"/>
          <w:sz w:val="28"/>
          <w:szCs w:val="28"/>
          <w:shd w:val="clear" w:color="auto" w:fill="auto"/>
          <w:lang w:bidi="ar"/>
        </w:rPr>
        <w:t>（二）监督及举报方式</w:t>
      </w:r>
    </w:p>
    <w:p w14:paraId="490FB178">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名 称：海南海钢集团有限公司纪检监察室</w:t>
      </w:r>
    </w:p>
    <w:p w14:paraId="0AE4E358">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地 址：</w:t>
      </w:r>
      <w:r>
        <w:rPr>
          <w:rFonts w:hint="eastAsia" w:ascii="仿宋_GB2312" w:hAnsi="Times New Roman" w:eastAsia="仿宋_GB2312" w:cs="仿宋_GB2312"/>
          <w:color w:val="000000"/>
          <w:kern w:val="2"/>
          <w:sz w:val="28"/>
          <w:szCs w:val="28"/>
          <w:u w:val="none"/>
          <w:shd w:val="clear" w:color="auto" w:fill="auto"/>
          <w:lang w:bidi="ar"/>
        </w:rPr>
        <w:t>海南省昌江黎族自治县石碌镇迎宾路6号</w:t>
      </w:r>
    </w:p>
    <w:p w14:paraId="18E389CF">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eastAsia" w:ascii="仿宋_GB2312" w:hAnsi="Times New Roman" w:eastAsia="仿宋_GB2312" w:cs="仿宋_GB2312"/>
          <w:color w:val="000000"/>
          <w:kern w:val="2"/>
          <w:sz w:val="28"/>
          <w:szCs w:val="28"/>
          <w:shd w:val="clear" w:color="auto" w:fill="auto"/>
          <w:lang w:bidi="ar"/>
        </w:rPr>
      </w:pPr>
      <w:r>
        <w:rPr>
          <w:rFonts w:hint="eastAsia" w:ascii="仿宋_GB2312" w:hAnsi="Times New Roman" w:eastAsia="仿宋_GB2312" w:cs="仿宋_GB2312"/>
          <w:color w:val="000000"/>
          <w:kern w:val="2"/>
          <w:sz w:val="28"/>
          <w:szCs w:val="28"/>
          <w:shd w:val="clear" w:color="auto" w:fill="auto"/>
          <w:lang w:bidi="ar"/>
        </w:rPr>
        <w:t>电 话：</w:t>
      </w:r>
      <w:r>
        <w:rPr>
          <w:rFonts w:hint="eastAsia" w:ascii="仿宋_GB2312" w:hAnsi="Times New Roman" w:eastAsia="仿宋_GB2312" w:cs="仿宋_GB2312"/>
          <w:color w:val="000000"/>
          <w:kern w:val="2"/>
          <w:sz w:val="28"/>
          <w:szCs w:val="28"/>
          <w:u w:val="none"/>
          <w:shd w:val="clear" w:color="auto" w:fill="auto"/>
          <w:lang w:bidi="ar"/>
        </w:rPr>
        <w:t>0898-26660509</w:t>
      </w:r>
    </w:p>
    <w:p w14:paraId="6EF7A1C8">
      <w:pPr>
        <w:pStyle w:val="21"/>
        <w:widowControl w:val="0"/>
        <w:shd w:val="clear" w:color="auto" w:fill="FFFFFF"/>
        <w:wordWrap w:val="0"/>
        <w:spacing w:before="0" w:beforeLines="0" w:beforeAutospacing="0" w:after="0" w:afterLines="0" w:afterAutospacing="0" w:line="576" w:lineRule="exact"/>
        <w:ind w:firstLine="562" w:firstLineChars="200"/>
        <w:jc w:val="both"/>
        <w:textAlignment w:val="baseline"/>
        <w:rPr>
          <w:rFonts w:hint="eastAsia" w:ascii="仿宋_GB2312" w:hAnsi="Times New Roman" w:eastAsia="仿宋_GB2312" w:cs="仿宋_GB2312"/>
          <w:b/>
          <w:bCs/>
          <w:color w:val="000000"/>
          <w:kern w:val="2"/>
          <w:sz w:val="28"/>
          <w:szCs w:val="28"/>
          <w:shd w:val="clear" w:color="auto" w:fill="auto"/>
          <w:lang w:bidi="ar"/>
        </w:rPr>
      </w:pPr>
      <w:r>
        <w:rPr>
          <w:rFonts w:hint="eastAsia" w:ascii="仿宋_GB2312" w:hAnsi="Times New Roman" w:eastAsia="仿宋_GB2312" w:cs="仿宋_GB2312"/>
          <w:b/>
          <w:bCs/>
          <w:color w:val="000000"/>
          <w:kern w:val="2"/>
          <w:sz w:val="28"/>
          <w:szCs w:val="28"/>
          <w:shd w:val="clear" w:color="auto" w:fill="auto"/>
          <w:lang w:bidi="ar"/>
        </w:rPr>
        <w:t>（三）项目联系方式</w:t>
      </w:r>
    </w:p>
    <w:p w14:paraId="1937651E">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default" w:ascii="仿宋_GB2312" w:hAnsi="Times New Roman" w:eastAsia="仿宋_GB2312" w:cs="仿宋_GB2312"/>
          <w:color w:val="000000"/>
          <w:kern w:val="2"/>
          <w:sz w:val="28"/>
          <w:szCs w:val="28"/>
          <w:shd w:val="clear" w:color="auto" w:fill="auto"/>
          <w:lang w:val="en-US" w:eastAsia="zh-CN" w:bidi="ar"/>
        </w:rPr>
      </w:pPr>
      <w:r>
        <w:rPr>
          <w:rFonts w:hint="eastAsia" w:ascii="仿宋_GB2312" w:hAnsi="Times New Roman" w:eastAsia="仿宋_GB2312" w:cs="仿宋_GB2312"/>
          <w:color w:val="000000"/>
          <w:kern w:val="2"/>
          <w:sz w:val="28"/>
          <w:szCs w:val="28"/>
          <w:shd w:val="clear" w:color="auto" w:fill="auto"/>
          <w:lang w:bidi="ar"/>
        </w:rPr>
        <w:t>项目联系人：</w:t>
      </w:r>
      <w:r>
        <w:rPr>
          <w:rFonts w:hint="eastAsia" w:ascii="仿宋_GB2312" w:hAnsi="Times New Roman" w:eastAsia="仿宋_GB2312" w:cs="仿宋_GB2312"/>
          <w:color w:val="000000"/>
          <w:kern w:val="2"/>
          <w:sz w:val="28"/>
          <w:szCs w:val="28"/>
          <w:shd w:val="clear" w:color="auto" w:fill="auto"/>
          <w:lang w:val="en-US" w:eastAsia="zh-CN" w:bidi="ar"/>
        </w:rPr>
        <w:t>黄伟光</w:t>
      </w:r>
    </w:p>
    <w:p w14:paraId="0412EA0E">
      <w:pPr>
        <w:pStyle w:val="21"/>
        <w:widowControl w:val="0"/>
        <w:shd w:val="clear" w:color="auto" w:fill="FFFFFF"/>
        <w:wordWrap w:val="0"/>
        <w:spacing w:before="0" w:beforeLines="0" w:beforeAutospacing="0" w:after="0" w:afterLines="0" w:afterAutospacing="0" w:line="576" w:lineRule="exact"/>
        <w:ind w:firstLine="560" w:firstLineChars="200"/>
        <w:jc w:val="both"/>
        <w:textAlignment w:val="baseline"/>
        <w:rPr>
          <w:rFonts w:hint="default" w:ascii="仿宋_GB2312" w:hAnsi="Times New Roman" w:eastAsia="仿宋_GB2312" w:cs="仿宋_GB2312"/>
          <w:color w:val="000000"/>
          <w:kern w:val="2"/>
          <w:sz w:val="28"/>
          <w:szCs w:val="28"/>
          <w:shd w:val="clear" w:color="auto" w:fill="auto"/>
          <w:lang w:val="en-US" w:eastAsia="zh-CN" w:bidi="ar"/>
        </w:rPr>
        <w:sectPr>
          <w:headerReference r:id="rId7" w:type="first"/>
          <w:footerReference r:id="rId10" w:type="first"/>
          <w:headerReference r:id="rId5" w:type="default"/>
          <w:footerReference r:id="rId8" w:type="default"/>
          <w:headerReference r:id="rId6" w:type="even"/>
          <w:footerReference r:id="rId9" w:type="even"/>
          <w:pgSz w:w="11905" w:h="16838"/>
          <w:pgMar w:top="1984" w:right="1871" w:bottom="1984" w:left="1871" w:header="851" w:footer="850" w:gutter="0"/>
          <w:pgNumType w:fmt="chineseCounting" w:start="1"/>
          <w:cols w:space="720" w:num="1"/>
          <w:docGrid w:linePitch="482" w:charSpace="0"/>
        </w:sectPr>
      </w:pPr>
      <w:r>
        <w:rPr>
          <w:rFonts w:hint="eastAsia" w:ascii="仿宋_GB2312" w:hAnsi="Times New Roman" w:eastAsia="仿宋_GB2312" w:cs="仿宋_GB2312"/>
          <w:color w:val="000000"/>
          <w:kern w:val="2"/>
          <w:sz w:val="28"/>
          <w:szCs w:val="28"/>
          <w:shd w:val="clear" w:color="auto" w:fill="auto"/>
          <w:lang w:bidi="ar"/>
        </w:rPr>
        <w:t>电      话：</w:t>
      </w:r>
      <w:r>
        <w:rPr>
          <w:rFonts w:hint="eastAsia" w:ascii="仿宋_GB2312" w:hAnsi="Times New Roman" w:eastAsia="仿宋_GB2312" w:cs="仿宋_GB2312"/>
          <w:color w:val="000000"/>
          <w:kern w:val="2"/>
          <w:sz w:val="28"/>
          <w:szCs w:val="28"/>
          <w:shd w:val="clear" w:color="auto" w:fill="auto"/>
          <w:lang w:val="en-US" w:eastAsia="zh-CN" w:bidi="ar"/>
        </w:rPr>
        <w:t>18976612800</w:t>
      </w:r>
    </w:p>
    <w:p w14:paraId="4BB26270">
      <w:pPr>
        <w:keepNext w:val="0"/>
        <w:keepLines w:val="0"/>
        <w:widowControl w:val="0"/>
        <w:numPr>
          <w:ilvl w:val="0"/>
          <w:numId w:val="0"/>
        </w:numPr>
        <w:spacing w:before="0" w:after="0" w:line="600" w:lineRule="exact"/>
        <w:jc w:val="center"/>
        <w:outlineLvl w:val="0"/>
        <w:rPr>
          <w:rFonts w:hint="eastAsia" w:ascii="方正小标宋简体" w:hAnsi="方正小标宋简体" w:eastAsia="方正小标宋简体" w:cs="方正小标宋简体"/>
          <w:color w:val="000000"/>
          <w:kern w:val="2"/>
          <w:sz w:val="44"/>
          <w:szCs w:val="44"/>
          <w:lang w:bidi="ar"/>
        </w:rPr>
      </w:pPr>
      <w:bookmarkStart w:id="22" w:name="_Toc198856069"/>
      <w:r>
        <w:rPr>
          <w:rFonts w:hint="eastAsia" w:ascii="方正小标宋简体" w:hAnsi="方正小标宋简体" w:eastAsia="方正小标宋简体" w:cs="方正小标宋简体"/>
          <w:color w:val="000000"/>
          <w:kern w:val="2"/>
          <w:sz w:val="44"/>
          <w:szCs w:val="44"/>
          <w:lang w:val="en-US" w:eastAsia="zh-CN" w:bidi="ar"/>
        </w:rPr>
        <w:t xml:space="preserve">第二章 </w:t>
      </w:r>
      <w:r>
        <w:rPr>
          <w:rFonts w:hint="eastAsia" w:ascii="方正小标宋简体" w:hAnsi="方正小标宋简体" w:eastAsia="方正小标宋简体" w:cs="方正小标宋简体"/>
          <w:color w:val="000000"/>
          <w:kern w:val="2"/>
          <w:sz w:val="44"/>
          <w:szCs w:val="44"/>
          <w:lang w:bidi="ar"/>
        </w:rPr>
        <w:t>谈判须知</w:t>
      </w:r>
      <w:bookmarkEnd w:id="22"/>
    </w:p>
    <w:p w14:paraId="3F5C8E90">
      <w:pPr>
        <w:keepNext w:val="0"/>
        <w:keepLines w:val="0"/>
        <w:widowControl w:val="0"/>
        <w:numPr>
          <w:ilvl w:val="0"/>
          <w:numId w:val="0"/>
        </w:numPr>
        <w:spacing w:before="0" w:after="0" w:line="600" w:lineRule="exact"/>
        <w:jc w:val="both"/>
        <w:rPr>
          <w:rFonts w:hint="eastAsia" w:ascii="方正小标宋简体" w:hAnsi="方正小标宋简体" w:eastAsia="方正小标宋简体" w:cs="方正小标宋简体"/>
          <w:color w:val="000000"/>
          <w:kern w:val="2"/>
          <w:sz w:val="44"/>
          <w:szCs w:val="44"/>
          <w:lang w:bidi="ar"/>
        </w:rPr>
      </w:pPr>
    </w:p>
    <w:p w14:paraId="077DFB34">
      <w:pPr>
        <w:pStyle w:val="21"/>
        <w:shd w:val="clear" w:color="auto" w:fill="FFFFFF"/>
        <w:spacing w:before="0" w:beforeLines="0" w:beforeAutospacing="0" w:after="0" w:afterLines="0" w:afterAutospacing="0" w:line="576" w:lineRule="exact"/>
        <w:ind w:firstLine="640" w:firstLineChars="200"/>
        <w:textAlignment w:val="baseline"/>
        <w:outlineLvl w:val="1"/>
        <w:rPr>
          <w:rFonts w:hint="default" w:ascii="黑体" w:hAnsi="宋体" w:eastAsia="黑体" w:cs="黑体"/>
          <w:color w:val="000000"/>
          <w:kern w:val="2"/>
          <w:sz w:val="32"/>
          <w:szCs w:val="32"/>
          <w:shd w:val="clear" w:color="auto" w:fill="auto"/>
          <w:lang w:bidi="ar"/>
        </w:rPr>
      </w:pPr>
      <w:bookmarkStart w:id="23" w:name="_Toc198856070"/>
      <w:r>
        <w:rPr>
          <w:rFonts w:hint="default" w:ascii="黑体" w:hAnsi="宋体" w:eastAsia="黑体" w:cs="黑体"/>
          <w:color w:val="000000"/>
          <w:kern w:val="2"/>
          <w:sz w:val="32"/>
          <w:szCs w:val="32"/>
          <w:shd w:val="clear" w:color="auto" w:fill="auto"/>
          <w:lang w:bidi="ar"/>
        </w:rPr>
        <w:t>一、谈判须知附表</w:t>
      </w:r>
      <w:bookmarkEnd w:id="23"/>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
        <w:gridCol w:w="1118"/>
        <w:gridCol w:w="6567"/>
      </w:tblGrid>
      <w:tr w14:paraId="21D1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297" w:type="pct"/>
            <w:noWrap w:val="0"/>
            <w:vAlign w:val="center"/>
          </w:tcPr>
          <w:p w14:paraId="6A4A8420">
            <w:pPr>
              <w:jc w:val="center"/>
              <w:rPr>
                <w:rFonts w:ascii="Times New Roman"/>
                <w:b/>
                <w:bCs/>
                <w:sz w:val="24"/>
                <w:szCs w:val="24"/>
              </w:rPr>
            </w:pPr>
            <w:r>
              <w:rPr>
                <w:rFonts w:ascii="Times New Roman"/>
                <w:b/>
                <w:bCs/>
                <w:spacing w:val="-8"/>
                <w:sz w:val="24"/>
                <w:szCs w:val="24"/>
              </w:rPr>
              <w:t>序号</w:t>
            </w:r>
          </w:p>
        </w:tc>
        <w:tc>
          <w:tcPr>
            <w:tcW w:w="684" w:type="pct"/>
            <w:noWrap w:val="0"/>
            <w:vAlign w:val="center"/>
          </w:tcPr>
          <w:p w14:paraId="0A6A1D28">
            <w:pPr>
              <w:jc w:val="center"/>
              <w:rPr>
                <w:rFonts w:ascii="Times New Roman"/>
                <w:b/>
                <w:bCs/>
                <w:sz w:val="24"/>
                <w:szCs w:val="24"/>
              </w:rPr>
            </w:pPr>
            <w:r>
              <w:rPr>
                <w:rFonts w:ascii="Times New Roman"/>
                <w:b/>
                <w:bCs/>
                <w:spacing w:val="-4"/>
                <w:sz w:val="24"/>
                <w:szCs w:val="24"/>
              </w:rPr>
              <w:t>应知事项</w:t>
            </w:r>
          </w:p>
        </w:tc>
        <w:tc>
          <w:tcPr>
            <w:tcW w:w="4017" w:type="pct"/>
            <w:noWrap w:val="0"/>
            <w:vAlign w:val="center"/>
          </w:tcPr>
          <w:p w14:paraId="78AF459D">
            <w:pPr>
              <w:jc w:val="center"/>
              <w:rPr>
                <w:rFonts w:ascii="Times New Roman"/>
                <w:b/>
                <w:bCs/>
                <w:sz w:val="24"/>
                <w:szCs w:val="24"/>
              </w:rPr>
            </w:pPr>
            <w:r>
              <w:rPr>
                <w:rFonts w:ascii="Times New Roman"/>
                <w:b/>
                <w:bCs/>
                <w:spacing w:val="-4"/>
                <w:sz w:val="24"/>
                <w:szCs w:val="24"/>
              </w:rPr>
              <w:t>说明和要求</w:t>
            </w:r>
          </w:p>
        </w:tc>
      </w:tr>
      <w:tr w14:paraId="5AAA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297" w:type="pct"/>
            <w:noWrap w:val="0"/>
            <w:vAlign w:val="center"/>
          </w:tcPr>
          <w:p w14:paraId="56EBBA6E">
            <w:pPr>
              <w:jc w:val="center"/>
              <w:rPr>
                <w:rFonts w:hint="eastAsia" w:ascii="仿宋" w:hAnsi="仿宋" w:eastAsia="仿宋" w:cs="仿宋"/>
                <w:sz w:val="24"/>
                <w:szCs w:val="24"/>
              </w:rPr>
            </w:pPr>
            <w:r>
              <w:rPr>
                <w:rFonts w:hint="eastAsia" w:ascii="仿宋" w:hAnsi="仿宋" w:eastAsia="仿宋" w:cs="仿宋"/>
                <w:sz w:val="24"/>
                <w:szCs w:val="24"/>
              </w:rPr>
              <w:t>1</w:t>
            </w:r>
          </w:p>
        </w:tc>
        <w:tc>
          <w:tcPr>
            <w:tcW w:w="684" w:type="pct"/>
            <w:noWrap w:val="0"/>
            <w:vAlign w:val="center"/>
          </w:tcPr>
          <w:p w14:paraId="6934CC12">
            <w:pPr>
              <w:jc w:val="center"/>
              <w:rPr>
                <w:rFonts w:hint="eastAsia" w:ascii="仿宋" w:hAnsi="仿宋" w:eastAsia="仿宋" w:cs="仿宋"/>
                <w:sz w:val="24"/>
                <w:szCs w:val="24"/>
              </w:rPr>
            </w:pPr>
            <w:r>
              <w:rPr>
                <w:rFonts w:hint="eastAsia" w:ascii="仿宋" w:hAnsi="仿宋" w:eastAsia="仿宋" w:cs="仿宋"/>
                <w:spacing w:val="-6"/>
                <w:sz w:val="24"/>
                <w:szCs w:val="24"/>
              </w:rPr>
              <w:t>最高限价</w:t>
            </w:r>
          </w:p>
        </w:tc>
        <w:tc>
          <w:tcPr>
            <w:tcW w:w="4017" w:type="pct"/>
            <w:noWrap w:val="0"/>
            <w:vAlign w:val="center"/>
          </w:tcPr>
          <w:p w14:paraId="422E6FEA">
            <w:pPr>
              <w:ind w:right="112" w:firstLine="0" w:firstLine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shd w:val="clear" w:color="auto" w:fill="FFFFFF"/>
                <w:lang w:val="en-US" w:eastAsia="zh-CN"/>
              </w:rPr>
              <w:t>50</w:t>
            </w:r>
            <w:r>
              <w:rPr>
                <w:rFonts w:hint="eastAsia" w:ascii="仿宋" w:hAnsi="仿宋" w:eastAsia="仿宋" w:cs="仿宋"/>
                <w:sz w:val="24"/>
                <w:szCs w:val="24"/>
                <w:u w:val="single"/>
                <w:shd w:val="clear" w:color="auto" w:fill="FFFFFF"/>
              </w:rPr>
              <w:t>.00</w:t>
            </w:r>
            <w:r>
              <w:rPr>
                <w:rFonts w:hint="eastAsia" w:ascii="仿宋" w:hAnsi="仿宋" w:eastAsia="仿宋" w:cs="仿宋"/>
                <w:sz w:val="24"/>
                <w:szCs w:val="24"/>
              </w:rPr>
              <w:t>万元，</w:t>
            </w:r>
            <w:r>
              <w:rPr>
                <w:rFonts w:hint="eastAsia" w:ascii="仿宋" w:hAnsi="仿宋" w:eastAsia="仿宋" w:cs="仿宋"/>
                <w:spacing w:val="-1"/>
                <w:sz w:val="24"/>
                <w:szCs w:val="24"/>
              </w:rPr>
              <w:t>超过最高限价的报价，其响应文件按无效处理。</w:t>
            </w:r>
          </w:p>
        </w:tc>
      </w:tr>
      <w:tr w14:paraId="5A9E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297" w:type="pct"/>
            <w:noWrap w:val="0"/>
            <w:vAlign w:val="center"/>
          </w:tcPr>
          <w:p w14:paraId="5B61CA53">
            <w:pPr>
              <w:jc w:val="center"/>
              <w:rPr>
                <w:rFonts w:hint="eastAsia" w:ascii="仿宋" w:hAnsi="仿宋" w:eastAsia="仿宋" w:cs="仿宋"/>
                <w:sz w:val="24"/>
                <w:szCs w:val="24"/>
              </w:rPr>
            </w:pPr>
            <w:r>
              <w:rPr>
                <w:rFonts w:hint="eastAsia" w:ascii="仿宋" w:hAnsi="仿宋" w:eastAsia="仿宋" w:cs="仿宋"/>
                <w:sz w:val="24"/>
                <w:szCs w:val="24"/>
              </w:rPr>
              <w:t>2</w:t>
            </w:r>
          </w:p>
        </w:tc>
        <w:tc>
          <w:tcPr>
            <w:tcW w:w="684" w:type="pct"/>
            <w:noWrap w:val="0"/>
            <w:vAlign w:val="center"/>
          </w:tcPr>
          <w:p w14:paraId="366DBE1C">
            <w:pPr>
              <w:jc w:val="center"/>
              <w:rPr>
                <w:rFonts w:hint="eastAsia" w:ascii="仿宋" w:hAnsi="仿宋" w:eastAsia="仿宋" w:cs="仿宋"/>
                <w:sz w:val="24"/>
                <w:szCs w:val="24"/>
              </w:rPr>
            </w:pPr>
            <w:r>
              <w:rPr>
                <w:rFonts w:hint="eastAsia" w:ascii="仿宋" w:hAnsi="仿宋" w:eastAsia="仿宋" w:cs="仿宋"/>
                <w:spacing w:val="-6"/>
                <w:sz w:val="24"/>
                <w:szCs w:val="24"/>
              </w:rPr>
              <w:t>谈判保证金</w:t>
            </w:r>
          </w:p>
        </w:tc>
        <w:tc>
          <w:tcPr>
            <w:tcW w:w="4017" w:type="pct"/>
            <w:noWrap w:val="0"/>
            <w:vAlign w:val="center"/>
          </w:tcPr>
          <w:p w14:paraId="1E859C81">
            <w:pPr>
              <w:pStyle w:val="36"/>
              <w:rPr>
                <w:rFonts w:hint="eastAsia" w:ascii="仿宋" w:hAnsi="仿宋" w:eastAsia="仿宋" w:cs="仿宋"/>
              </w:rPr>
            </w:pPr>
            <w:r>
              <w:rPr>
                <w:rFonts w:hint="eastAsia" w:ascii="仿宋" w:hAnsi="仿宋" w:eastAsia="仿宋" w:cs="仿宋"/>
                <w:spacing w:val="-3"/>
              </w:rPr>
              <w:t>本项目（</w:t>
            </w:r>
            <w:r>
              <w:rPr>
                <w:rFonts w:hint="eastAsia" w:ascii="仿宋" w:hAnsi="仿宋" w:eastAsia="仿宋" w:cs="仿宋"/>
                <w:spacing w:val="-3"/>
              </w:rPr>
              <w:sym w:font="Wingdings" w:char="00A8"/>
            </w:r>
            <w:r>
              <w:rPr>
                <w:rFonts w:hint="eastAsia" w:ascii="仿宋" w:hAnsi="仿宋" w:eastAsia="仿宋" w:cs="仿宋"/>
                <w:spacing w:val="-3"/>
              </w:rPr>
              <w:t>设置/</w:t>
            </w:r>
            <w:r>
              <w:rPr>
                <w:rFonts w:hint="eastAsia" w:ascii="仿宋" w:hAnsi="仿宋" w:eastAsia="仿宋" w:cs="仿宋"/>
                <w:spacing w:val="-3"/>
              </w:rPr>
              <w:sym w:font="Wingdings" w:char="00FE"/>
            </w:r>
            <w:r>
              <w:rPr>
                <w:rFonts w:hint="eastAsia" w:ascii="仿宋" w:hAnsi="仿宋" w:eastAsia="仿宋" w:cs="仿宋"/>
                <w:spacing w:val="-3"/>
              </w:rPr>
              <w:t>不设置）谈判保证金</w:t>
            </w:r>
          </w:p>
        </w:tc>
      </w:tr>
      <w:tr w14:paraId="5F2A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8" w:hRule="atLeast"/>
          <w:jc w:val="center"/>
        </w:trPr>
        <w:tc>
          <w:tcPr>
            <w:tcW w:w="297" w:type="pct"/>
            <w:noWrap w:val="0"/>
            <w:vAlign w:val="center"/>
          </w:tcPr>
          <w:p w14:paraId="066DB10A">
            <w:pPr>
              <w:jc w:val="center"/>
              <w:rPr>
                <w:rFonts w:hint="eastAsia" w:ascii="仿宋" w:hAnsi="仿宋" w:eastAsia="仿宋" w:cs="仿宋"/>
                <w:sz w:val="24"/>
                <w:szCs w:val="24"/>
              </w:rPr>
            </w:pPr>
            <w:r>
              <w:rPr>
                <w:rFonts w:hint="eastAsia" w:ascii="仿宋" w:hAnsi="仿宋" w:eastAsia="仿宋" w:cs="仿宋"/>
                <w:sz w:val="24"/>
                <w:szCs w:val="24"/>
              </w:rPr>
              <w:t>3</w:t>
            </w:r>
          </w:p>
        </w:tc>
        <w:tc>
          <w:tcPr>
            <w:tcW w:w="684" w:type="pct"/>
            <w:noWrap w:val="0"/>
            <w:vAlign w:val="center"/>
          </w:tcPr>
          <w:p w14:paraId="42F04F49">
            <w:pPr>
              <w:tabs>
                <w:tab w:val="left" w:pos="369"/>
              </w:tabs>
              <w:jc w:val="center"/>
              <w:rPr>
                <w:rFonts w:hint="eastAsia" w:ascii="仿宋" w:hAnsi="仿宋" w:eastAsia="仿宋" w:cs="仿宋"/>
                <w:sz w:val="24"/>
                <w:szCs w:val="24"/>
              </w:rPr>
            </w:pPr>
            <w:r>
              <w:rPr>
                <w:rFonts w:hint="eastAsia" w:ascii="仿宋" w:hAnsi="仿宋" w:eastAsia="仿宋" w:cs="仿宋"/>
                <w:spacing w:val="-3"/>
                <w:sz w:val="24"/>
                <w:szCs w:val="24"/>
              </w:rPr>
              <w:t>低于成本价</w:t>
            </w:r>
          </w:p>
          <w:p w14:paraId="132E8F8F">
            <w:pPr>
              <w:jc w:val="center"/>
              <w:rPr>
                <w:rFonts w:hint="eastAsia" w:ascii="仿宋" w:hAnsi="仿宋" w:eastAsia="仿宋" w:cs="仿宋"/>
                <w:sz w:val="24"/>
                <w:szCs w:val="24"/>
              </w:rPr>
            </w:pPr>
            <w:r>
              <w:rPr>
                <w:rFonts w:hint="eastAsia" w:ascii="仿宋" w:hAnsi="仿宋" w:eastAsia="仿宋" w:cs="仿宋"/>
                <w:spacing w:val="-3"/>
                <w:sz w:val="24"/>
                <w:szCs w:val="24"/>
              </w:rPr>
              <w:t>不正当竞争预防措施</w:t>
            </w:r>
          </w:p>
          <w:p w14:paraId="7A157A20">
            <w:pPr>
              <w:jc w:val="center"/>
              <w:rPr>
                <w:rFonts w:hint="eastAsia" w:ascii="仿宋" w:hAnsi="仿宋" w:eastAsia="仿宋" w:cs="仿宋"/>
                <w:sz w:val="24"/>
                <w:szCs w:val="24"/>
              </w:rPr>
            </w:pPr>
          </w:p>
        </w:tc>
        <w:tc>
          <w:tcPr>
            <w:tcW w:w="4017" w:type="pct"/>
            <w:noWrap w:val="0"/>
            <w:vAlign w:val="center"/>
          </w:tcPr>
          <w:p w14:paraId="6333A256">
            <w:pPr>
              <w:rPr>
                <w:rFonts w:hint="eastAsia" w:ascii="仿宋" w:hAnsi="仿宋" w:eastAsia="仿宋" w:cs="仿宋"/>
                <w:sz w:val="24"/>
                <w:szCs w:val="24"/>
              </w:rPr>
            </w:pPr>
            <w:r>
              <w:rPr>
                <w:rFonts w:hint="eastAsia" w:ascii="仿宋" w:hAnsi="仿宋" w:eastAsia="仿宋" w:cs="仿宋"/>
                <w:b/>
                <w:bCs/>
                <w:color w:val="000000"/>
                <w:sz w:val="24"/>
                <w:szCs w:val="24"/>
              </w:rPr>
              <w:t>响应人不得低于成本价恶意报价。</w:t>
            </w:r>
            <w:r>
              <w:rPr>
                <w:rFonts w:hint="eastAsia" w:ascii="仿宋" w:hAnsi="仿宋" w:eastAsia="仿宋" w:cs="仿宋"/>
                <w:sz w:val="24"/>
                <w:szCs w:val="24"/>
              </w:rPr>
              <w:t>若响应人报价明显低于其成本价，或者恶意降低报价价格，可能损害采购人利益、破坏正常采购秩序的，响应人则必须在收到通知后的规定时间内提供详细的成本分析说明，包括进货渠道单据、财务费用、管理费用等具体证明内容。谈判小组经过综合评审认为可行的，采购人有权要求响应人在签订合同前提供质量保证金。如成交人在合同履行过程中偷工减料、不按要求完成项目，则采购人有权终止合同，没收质量保证金，并报集团公司和行业主管部门严肃处理。</w:t>
            </w:r>
          </w:p>
        </w:tc>
      </w:tr>
      <w:tr w14:paraId="1822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5" w:hRule="atLeast"/>
          <w:jc w:val="center"/>
        </w:trPr>
        <w:tc>
          <w:tcPr>
            <w:tcW w:w="297" w:type="pct"/>
            <w:noWrap w:val="0"/>
            <w:vAlign w:val="center"/>
          </w:tcPr>
          <w:p w14:paraId="3E2500C4">
            <w:pPr>
              <w:jc w:val="center"/>
              <w:rPr>
                <w:rFonts w:hint="eastAsia" w:ascii="仿宋" w:hAnsi="仿宋" w:eastAsia="仿宋" w:cs="仿宋"/>
                <w:sz w:val="24"/>
                <w:szCs w:val="24"/>
              </w:rPr>
            </w:pPr>
            <w:r>
              <w:rPr>
                <w:rFonts w:hint="eastAsia" w:ascii="仿宋" w:hAnsi="仿宋" w:eastAsia="仿宋" w:cs="仿宋"/>
                <w:sz w:val="24"/>
                <w:szCs w:val="24"/>
              </w:rPr>
              <w:t>4</w:t>
            </w:r>
          </w:p>
        </w:tc>
        <w:tc>
          <w:tcPr>
            <w:tcW w:w="684" w:type="pct"/>
            <w:noWrap w:val="0"/>
            <w:vAlign w:val="center"/>
          </w:tcPr>
          <w:p w14:paraId="636C6683">
            <w:pPr>
              <w:jc w:val="center"/>
              <w:rPr>
                <w:rFonts w:hint="eastAsia" w:ascii="仿宋" w:hAnsi="仿宋" w:eastAsia="仿宋" w:cs="仿宋"/>
                <w:spacing w:val="-3"/>
                <w:sz w:val="24"/>
                <w:szCs w:val="24"/>
              </w:rPr>
            </w:pPr>
            <w:r>
              <w:rPr>
                <w:rFonts w:hint="eastAsia" w:ascii="仿宋" w:hAnsi="仿宋" w:eastAsia="仿宋" w:cs="仿宋"/>
                <w:spacing w:val="-3"/>
                <w:sz w:val="24"/>
                <w:szCs w:val="24"/>
              </w:rPr>
              <w:t>知识产权</w:t>
            </w:r>
          </w:p>
        </w:tc>
        <w:tc>
          <w:tcPr>
            <w:tcW w:w="4017" w:type="pct"/>
            <w:noWrap w:val="0"/>
            <w:vAlign w:val="center"/>
          </w:tcPr>
          <w:p w14:paraId="35E03493">
            <w:pPr>
              <w:rPr>
                <w:rFonts w:hint="eastAsia" w:ascii="仿宋" w:hAnsi="仿宋" w:eastAsia="仿宋" w:cs="仿宋"/>
                <w:spacing w:val="-3"/>
                <w:sz w:val="24"/>
                <w:szCs w:val="24"/>
              </w:rPr>
            </w:pPr>
            <w:r>
              <w:rPr>
                <w:rFonts w:hint="eastAsia" w:ascii="仿宋" w:hAnsi="仿宋" w:eastAsia="仿宋" w:cs="仿宋"/>
                <w:spacing w:val="-3"/>
                <w:sz w:val="24"/>
                <w:szCs w:val="24"/>
              </w:rPr>
              <w:t>1.知识产权</w:t>
            </w:r>
          </w:p>
          <w:p w14:paraId="2D555D30">
            <w:pPr>
              <w:rPr>
                <w:rFonts w:hint="eastAsia" w:ascii="仿宋" w:hAnsi="仿宋" w:eastAsia="仿宋" w:cs="仿宋"/>
                <w:spacing w:val="-3"/>
                <w:sz w:val="24"/>
                <w:szCs w:val="24"/>
              </w:rPr>
            </w:pPr>
            <w:r>
              <w:rPr>
                <w:rFonts w:hint="eastAsia" w:ascii="仿宋" w:hAnsi="仿宋" w:eastAsia="仿宋" w:cs="仿宋"/>
                <w:spacing w:val="-3"/>
                <w:sz w:val="24"/>
                <w:szCs w:val="24"/>
              </w:rPr>
              <w:t>1.1应保证在本项目中使用的任何产品和服务（包括部分使用），不会产生因第三方提出侵犯其专利权、商标权或其它知识产权而引起的法律和经济纠纷，如因专利权、商标权或其它知识产权而引起法律和经济纠纷，由响应人承担所有相关责任。</w:t>
            </w:r>
          </w:p>
          <w:p w14:paraId="0D849ABC">
            <w:pPr>
              <w:rPr>
                <w:rFonts w:hint="eastAsia" w:ascii="仿宋" w:hAnsi="仿宋" w:eastAsia="仿宋" w:cs="仿宋"/>
                <w:spacing w:val="-3"/>
                <w:sz w:val="24"/>
                <w:szCs w:val="24"/>
              </w:rPr>
            </w:pPr>
            <w:r>
              <w:rPr>
                <w:rFonts w:hint="eastAsia" w:ascii="仿宋" w:hAnsi="仿宋" w:eastAsia="仿宋" w:cs="仿宋"/>
                <w:spacing w:val="-3"/>
                <w:sz w:val="24"/>
                <w:szCs w:val="24"/>
              </w:rPr>
              <w:t>1.2除非竞争性谈判文件特别规定，采购人享有本项目实施过程中产生的知识成果及知识产权。</w:t>
            </w:r>
          </w:p>
          <w:p w14:paraId="09503167">
            <w:pPr>
              <w:rPr>
                <w:rFonts w:hint="eastAsia" w:ascii="仿宋" w:hAnsi="仿宋" w:eastAsia="仿宋" w:cs="仿宋"/>
                <w:spacing w:val="-3"/>
                <w:sz w:val="24"/>
                <w:szCs w:val="24"/>
              </w:rPr>
            </w:pPr>
            <w:r>
              <w:rPr>
                <w:rFonts w:hint="eastAsia" w:ascii="仿宋" w:hAnsi="仿宋" w:eastAsia="仿宋" w:cs="仿宋"/>
                <w:spacing w:val="-3"/>
                <w:sz w:val="24"/>
                <w:szCs w:val="24"/>
              </w:rPr>
              <w:t>1.3响应人如欲在项目实施过程中采用自有知识成果，使用该知识成果后，响应人需提供开发接口和开发手册等技术文档，并承诺提供无限期技术支持，采购人享有永久使用权（含采购人委托第三方在该项目后续开发的使用权）。</w:t>
            </w:r>
          </w:p>
          <w:p w14:paraId="188AA9E1">
            <w:pPr>
              <w:rPr>
                <w:rFonts w:hint="eastAsia" w:ascii="仿宋" w:hAnsi="仿宋" w:eastAsia="仿宋" w:cs="仿宋"/>
                <w:spacing w:val="-3"/>
                <w:sz w:val="24"/>
                <w:szCs w:val="24"/>
              </w:rPr>
            </w:pPr>
            <w:r>
              <w:rPr>
                <w:rFonts w:hint="eastAsia" w:ascii="仿宋" w:hAnsi="仿宋" w:eastAsia="仿宋" w:cs="仿宋"/>
                <w:spacing w:val="-3"/>
                <w:sz w:val="24"/>
                <w:szCs w:val="24"/>
              </w:rPr>
              <w:t>1.4如采用响应人所不拥有的知识产权，则在报价中必须包括合法获取该知识产权的相关费用。</w:t>
            </w:r>
          </w:p>
        </w:tc>
      </w:tr>
    </w:tbl>
    <w:p w14:paraId="3D2D3499">
      <w:pPr>
        <w:pStyle w:val="21"/>
        <w:widowControl w:val="0"/>
        <w:shd w:val="clear" w:color="auto" w:fill="FFFFFF"/>
        <w:spacing w:beforeLines="0" w:afterLines="0" w:line="576" w:lineRule="exact"/>
        <w:ind w:firstLine="560" w:firstLineChars="200"/>
        <w:jc w:val="both"/>
        <w:textAlignment w:val="baseline"/>
        <w:outlineLvl w:val="1"/>
        <w:rPr>
          <w:rFonts w:hint="eastAsia" w:ascii="黑体" w:hAnsi="黑体" w:eastAsia="黑体" w:cs="黑体"/>
          <w:sz w:val="28"/>
          <w:szCs w:val="28"/>
          <w:shd w:val="clear" w:color="auto" w:fill="FFFFFF"/>
        </w:rPr>
      </w:pPr>
      <w:bookmarkStart w:id="24" w:name="_Toc7328"/>
      <w:r>
        <w:rPr>
          <w:rFonts w:hint="eastAsia" w:ascii="黑体" w:hAnsi="黑体" w:eastAsia="黑体" w:cs="黑体"/>
          <w:sz w:val="28"/>
          <w:szCs w:val="28"/>
          <w:shd w:val="clear" w:color="auto" w:fill="FFFFFF"/>
        </w:rPr>
        <w:br w:type="page"/>
      </w:r>
      <w:bookmarkStart w:id="25" w:name="_Toc198856071"/>
      <w:r>
        <w:rPr>
          <w:rFonts w:hint="default" w:ascii="黑体" w:hAnsi="宋体" w:eastAsia="黑体" w:cs="黑体"/>
          <w:color w:val="000000"/>
          <w:kern w:val="2"/>
          <w:sz w:val="32"/>
          <w:szCs w:val="32"/>
          <w:shd w:val="clear" w:color="auto" w:fill="auto"/>
          <w:lang w:bidi="ar"/>
        </w:rPr>
        <w:t>二、总则</w:t>
      </w:r>
      <w:bookmarkEnd w:id="24"/>
      <w:bookmarkEnd w:id="25"/>
    </w:p>
    <w:p w14:paraId="246903BA">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26" w:name="_Toc198856072"/>
      <w:r>
        <w:rPr>
          <w:rFonts w:hint="eastAsia" w:ascii="仿宋_GB2312" w:hAnsi="Times New Roman" w:eastAsia="仿宋_GB2312" w:cs="仿宋_GB2312"/>
          <w:b/>
          <w:bCs/>
          <w:color w:val="000000"/>
          <w:kern w:val="2"/>
          <w:sz w:val="28"/>
          <w:szCs w:val="28"/>
          <w:lang w:bidi="ar"/>
        </w:rPr>
        <w:t>（一）适用范围</w:t>
      </w:r>
      <w:bookmarkEnd w:id="26"/>
    </w:p>
    <w:p w14:paraId="3789474C">
      <w:pPr>
        <w:widowControl w:val="0"/>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1.本谈判文件仅适用于</w:t>
      </w:r>
      <w:r>
        <w:rPr>
          <w:rFonts w:hint="eastAsia" w:ascii="仿宋_GB2312" w:hAnsi="仿宋_GB2312" w:eastAsia="仿宋_GB2312" w:cs="仿宋_GB2312"/>
          <w:bCs/>
          <w:sz w:val="28"/>
          <w:szCs w:val="28"/>
          <w:u w:val="single"/>
        </w:rPr>
        <w:t>海南海钢集团有限公司</w:t>
      </w:r>
      <w:r>
        <w:rPr>
          <w:rFonts w:hint="eastAsia" w:ascii="仿宋_GB2312" w:hAnsi="仿宋_GB2312" w:eastAsia="仿宋_GB2312" w:cs="仿宋_GB2312"/>
          <w:bCs/>
          <w:sz w:val="28"/>
          <w:szCs w:val="28"/>
        </w:rPr>
        <w:t>组织的本次采购活动。</w:t>
      </w:r>
    </w:p>
    <w:p w14:paraId="4E37A207">
      <w:pPr>
        <w:widowControl w:val="0"/>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本谈判文件包括本文所列内容及按本须知发出的全部和补充资料。应认真阅读本谈判文件中所有的事项、格式、条款、技术规范等条件和要求。响应人被视为充分熟悉本采购项目的全部内容及与履行合同有关的全部内容，熟悉谈判文件的格式、条件和范围。响应人没有按照谈判文件的要求提交相关资料，或者响应人没有对谈判文件相关内容都作出实质性响应是响应人的风险，并可能导致其响应和报价无效。</w:t>
      </w:r>
    </w:p>
    <w:p w14:paraId="26765886">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27" w:name="_Toc198856073"/>
      <w:r>
        <w:rPr>
          <w:rFonts w:hint="eastAsia" w:ascii="仿宋_GB2312" w:hAnsi="Times New Roman" w:eastAsia="仿宋_GB2312" w:cs="仿宋_GB2312"/>
          <w:b/>
          <w:bCs/>
          <w:color w:val="000000"/>
          <w:kern w:val="2"/>
          <w:sz w:val="28"/>
          <w:szCs w:val="28"/>
          <w:lang w:bidi="ar"/>
        </w:rPr>
        <w:t>（二）有关定义</w:t>
      </w:r>
      <w:bookmarkEnd w:id="27"/>
    </w:p>
    <w:p w14:paraId="1F60E09A">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1.“采购人”系指：</w:t>
      </w:r>
      <w:r>
        <w:rPr>
          <w:rFonts w:hint="eastAsia" w:ascii="仿宋_GB2312" w:hAnsi="仿宋_GB2312" w:eastAsia="仿宋_GB2312" w:cs="仿宋_GB2312"/>
          <w:bCs/>
          <w:sz w:val="28"/>
          <w:szCs w:val="28"/>
          <w:u w:val="none"/>
        </w:rPr>
        <w:t>海南海钢集团有限公司</w:t>
      </w:r>
      <w:r>
        <w:rPr>
          <w:rFonts w:hint="eastAsia" w:ascii="仿宋_GB2312" w:hAnsi="仿宋_GB2312" w:eastAsia="仿宋_GB2312" w:cs="仿宋_GB2312"/>
          <w:bCs/>
          <w:sz w:val="28"/>
          <w:szCs w:val="28"/>
        </w:rPr>
        <w:t>。</w:t>
      </w:r>
    </w:p>
    <w:p w14:paraId="16CBA126">
      <w:pPr>
        <w:widowControl w:val="0"/>
        <w:spacing w:before="0" w:after="0" w:line="576" w:lineRule="exact"/>
        <w:ind w:firstLine="560" w:firstLineChars="200"/>
        <w:jc w:val="both"/>
        <w:outlineLvl w:val="9"/>
        <w:rPr>
          <w:rFonts w:hint="eastAsia" w:ascii="仿宋_GB2312" w:hAnsi="仿宋_GB2312" w:eastAsia="仿宋_GB2312" w:cs="仿宋_GB2312"/>
          <w:bCs/>
          <w:color w:val="auto"/>
          <w:sz w:val="28"/>
          <w:szCs w:val="28"/>
        </w:rPr>
      </w:pPr>
      <w:bookmarkStart w:id="28" w:name="_Toc198856074"/>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eastAsia="zh-CN"/>
        </w:rPr>
        <w:t>响应人</w:t>
      </w:r>
      <w:r>
        <w:rPr>
          <w:rFonts w:hint="eastAsia" w:ascii="仿宋_GB2312" w:hAnsi="仿宋_GB2312" w:eastAsia="仿宋_GB2312" w:cs="仿宋_GB2312"/>
          <w:bCs/>
          <w:color w:val="auto"/>
          <w:sz w:val="28"/>
          <w:szCs w:val="28"/>
        </w:rPr>
        <w:t>”系指响应谈判文件要求，报名、提交响应文件的法人、</w:t>
      </w:r>
      <w:r>
        <w:rPr>
          <w:rFonts w:hint="eastAsia" w:ascii="仿宋_GB2312" w:hAnsi="仿宋_GB2312" w:eastAsia="仿宋_GB2312" w:cs="仿宋_GB2312"/>
          <w:bCs/>
          <w:color w:val="auto"/>
          <w:sz w:val="28"/>
          <w:szCs w:val="28"/>
          <w:lang w:val="en-US" w:eastAsia="zh-CN"/>
        </w:rPr>
        <w:t>法人下设的分公司</w:t>
      </w:r>
      <w:r>
        <w:rPr>
          <w:rFonts w:hint="eastAsia" w:ascii="仿宋_GB2312" w:hAnsi="仿宋_GB2312" w:eastAsia="仿宋_GB2312" w:cs="仿宋_GB2312"/>
          <w:bCs/>
          <w:color w:val="auto"/>
          <w:sz w:val="28"/>
          <w:szCs w:val="28"/>
        </w:rPr>
        <w:t>。采购文件中涉及要求提供“法定代表人”相关证明材料的，</w:t>
      </w:r>
      <w:r>
        <w:rPr>
          <w:rFonts w:hint="eastAsia" w:ascii="仿宋_GB2312" w:hAnsi="仿宋_GB2312" w:eastAsia="仿宋_GB2312" w:cs="仿宋_GB2312"/>
          <w:bCs/>
          <w:color w:val="auto"/>
          <w:sz w:val="28"/>
          <w:szCs w:val="28"/>
          <w:lang w:val="en-US" w:eastAsia="zh-CN"/>
        </w:rPr>
        <w:t>分公司</w:t>
      </w:r>
      <w:r>
        <w:rPr>
          <w:rFonts w:hint="eastAsia" w:ascii="仿宋_GB2312" w:hAnsi="仿宋_GB2312" w:eastAsia="仿宋_GB2312" w:cs="仿宋_GB2312"/>
          <w:bCs/>
          <w:color w:val="auto"/>
          <w:sz w:val="28"/>
          <w:szCs w:val="28"/>
        </w:rPr>
        <w:t>提供</w:t>
      </w:r>
      <w:r>
        <w:rPr>
          <w:rFonts w:hint="eastAsia" w:ascii="仿宋_GB2312" w:hAnsi="仿宋_GB2312" w:eastAsia="仿宋_GB2312" w:cs="仿宋_GB2312"/>
          <w:bCs/>
          <w:color w:val="auto"/>
          <w:sz w:val="28"/>
          <w:szCs w:val="28"/>
          <w:lang w:val="en-US" w:eastAsia="zh-CN"/>
        </w:rPr>
        <w:t>本机构</w:t>
      </w:r>
      <w:r>
        <w:rPr>
          <w:rFonts w:hint="eastAsia" w:ascii="仿宋_GB2312" w:hAnsi="仿宋_GB2312" w:eastAsia="仿宋_GB2312" w:cs="仿宋_GB2312"/>
          <w:bCs/>
          <w:color w:val="auto"/>
          <w:sz w:val="28"/>
          <w:szCs w:val="28"/>
        </w:rPr>
        <w:t>“负责人”的相关证明材料。</w:t>
      </w:r>
    </w:p>
    <w:p w14:paraId="70218043">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（三）合格的响应人</w:t>
      </w:r>
      <w:bookmarkEnd w:id="28"/>
    </w:p>
    <w:p w14:paraId="4C1F76D9">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1.具备法律法规和本采购文件规定的资格条件；</w:t>
      </w:r>
    </w:p>
    <w:p w14:paraId="51484684">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2.不属于禁止参加本项目采购活动的响应人。</w:t>
      </w:r>
    </w:p>
    <w:p w14:paraId="6EB0F8A6">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3.本项目（</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接受/</w:t>
      </w:r>
      <w:r>
        <w:rPr>
          <w:rFonts w:hint="eastAsia" w:ascii="仿宋_GB2312" w:hAnsi="仿宋_GB2312" w:eastAsia="仿宋_GB2312" w:cs="仿宋_GB2312"/>
          <w:bCs/>
          <w:sz w:val="28"/>
          <w:szCs w:val="28"/>
        </w:rPr>
        <w:sym w:font="Wingdings" w:char="00FE"/>
      </w:r>
      <w:r>
        <w:rPr>
          <w:rFonts w:hint="eastAsia" w:ascii="仿宋_GB2312" w:hAnsi="仿宋_GB2312" w:eastAsia="仿宋_GB2312" w:cs="仿宋_GB2312"/>
          <w:bCs/>
          <w:sz w:val="28"/>
          <w:szCs w:val="28"/>
        </w:rPr>
        <w:t>不接受）联合体参选。</w:t>
      </w:r>
    </w:p>
    <w:p w14:paraId="5E840BF7">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29" w:name="_Toc198856075"/>
      <w:r>
        <w:rPr>
          <w:rFonts w:hint="eastAsia" w:ascii="仿宋_GB2312" w:hAnsi="Times New Roman" w:eastAsia="仿宋_GB2312" w:cs="仿宋_GB2312"/>
          <w:b/>
          <w:bCs/>
          <w:color w:val="000000"/>
          <w:kern w:val="2"/>
          <w:sz w:val="28"/>
          <w:szCs w:val="28"/>
          <w:lang w:bidi="ar"/>
        </w:rPr>
        <w:t>（四）报价费用</w:t>
      </w:r>
      <w:bookmarkEnd w:id="29"/>
    </w:p>
    <w:p w14:paraId="2015F62B">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无论谈判采购的结果如何，响应人自行承担所有费用</w:t>
      </w:r>
      <w:r>
        <w:rPr>
          <w:rFonts w:hint="eastAsia" w:ascii="仿宋_GB2312" w:hAnsi="仿宋_GB2312" w:eastAsia="仿宋_GB2312" w:cs="仿宋_GB2312"/>
          <w:bCs/>
          <w:sz w:val="28"/>
          <w:szCs w:val="28"/>
          <w:lang w:eastAsia="zh-CN"/>
        </w:rPr>
        <w:t>。</w:t>
      </w:r>
    </w:p>
    <w:p w14:paraId="7CB92E5B">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30" w:name="_Toc198856076"/>
      <w:r>
        <w:rPr>
          <w:rFonts w:hint="eastAsia" w:ascii="仿宋_GB2312" w:hAnsi="Times New Roman" w:eastAsia="仿宋_GB2312" w:cs="仿宋_GB2312"/>
          <w:b/>
          <w:bCs/>
          <w:color w:val="000000"/>
          <w:kern w:val="2"/>
          <w:sz w:val="28"/>
          <w:szCs w:val="28"/>
          <w:lang w:bidi="ar"/>
        </w:rPr>
        <w:t>（五）谈判文件</w:t>
      </w:r>
      <w:bookmarkEnd w:id="30"/>
    </w:p>
    <w:p w14:paraId="5E1EC897">
      <w:pPr>
        <w:pStyle w:val="13"/>
        <w:spacing w:before="4" w:after="4"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szCs w:val="28"/>
        </w:rPr>
        <w:t>谈判文件是响应人准备响应文件和参加谈判的依据，同时也是评选的重要依据，具有准法律文件性质。谈判文件用以阐明本项目所需的资质、技术、服务及报价等要求、谈判程序、有关规定和注意事项以及合同草案条款等。本谈判文件包括以下内容：</w:t>
      </w:r>
    </w:p>
    <w:p w14:paraId="41F35106">
      <w:pPr>
        <w:widowControl w:val="0"/>
        <w:spacing w:before="0" w:after="0" w:line="576" w:lineRule="exact"/>
        <w:ind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（1）谈判公告；</w:t>
      </w:r>
    </w:p>
    <w:p w14:paraId="4A07962C">
      <w:pPr>
        <w:widowControl w:val="0"/>
        <w:spacing w:before="0" w:after="0" w:line="576" w:lineRule="exact"/>
        <w:ind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（2）谈判须知；</w:t>
      </w:r>
    </w:p>
    <w:p w14:paraId="38EC62D2">
      <w:pPr>
        <w:widowControl w:val="0"/>
        <w:spacing w:before="0" w:after="0" w:line="576" w:lineRule="exact"/>
        <w:ind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（3）采购需求；</w:t>
      </w:r>
    </w:p>
    <w:p w14:paraId="61DC1040">
      <w:pPr>
        <w:widowControl w:val="0"/>
        <w:spacing w:before="0" w:after="0" w:line="576" w:lineRule="exact"/>
        <w:ind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（4）响应文件格式；</w:t>
      </w:r>
    </w:p>
    <w:p w14:paraId="4BC143E9">
      <w:pPr>
        <w:widowControl w:val="0"/>
        <w:spacing w:before="0" w:after="0" w:line="576" w:lineRule="exact"/>
        <w:ind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（5）谈判程序；</w:t>
      </w:r>
    </w:p>
    <w:p w14:paraId="0CA2834A">
      <w:pPr>
        <w:widowControl w:val="0"/>
        <w:spacing w:before="0" w:after="0" w:line="576" w:lineRule="exact"/>
        <w:ind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（6）合同文本。</w:t>
      </w:r>
    </w:p>
    <w:p w14:paraId="42D689CE">
      <w:pPr>
        <w:pStyle w:val="13"/>
        <w:spacing w:before="0" w:after="0" w:line="576" w:lineRule="exact"/>
        <w:ind w:firstLine="560" w:firstLineChars="200"/>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2.响应人被视为充分熟悉本项目所在地的与履行合同有关的各种情况，包括自然环境、气候条件、劳动力及公用设施等，本谈判文件不再对上述情况进行描述。</w:t>
      </w:r>
    </w:p>
    <w:p w14:paraId="69E4F649">
      <w:pPr>
        <w:pStyle w:val="13"/>
        <w:spacing w:before="0" w:after="0" w:line="576" w:lineRule="exact"/>
        <w:ind w:firstLine="560" w:firstLineChars="200"/>
        <w:rPr>
          <w:rFonts w:hint="eastAsia" w:ascii="仿宋_GB2312" w:hAnsi="仿宋_GB2312" w:eastAsia="仿宋_GB2312" w:cs="仿宋_GB2312"/>
          <w:bCs w:val="0"/>
          <w:sz w:val="28"/>
          <w:szCs w:val="28"/>
        </w:rPr>
      </w:pPr>
      <w:r>
        <w:rPr>
          <w:rFonts w:hint="eastAsia" w:ascii="仿宋_GB2312" w:hAnsi="仿宋_GB2312" w:eastAsia="仿宋_GB2312" w:cs="仿宋_GB2312"/>
          <w:bCs w:val="0"/>
          <w:sz w:val="28"/>
          <w:szCs w:val="28"/>
        </w:rPr>
        <w:t>3.谈判文件中提供的参考产品品牌或型号，是采购人根据项目所要实现的功能根据市场情况列出的品牌或型号，并不是限制条件，而是为了达到类似的要求。</w:t>
      </w:r>
    </w:p>
    <w:p w14:paraId="062C1F60">
      <w:pPr>
        <w:pStyle w:val="13"/>
        <w:spacing w:before="0" w:after="0" w:line="576"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val="0"/>
          <w:sz w:val="28"/>
          <w:szCs w:val="28"/>
        </w:rPr>
        <w:t>4.响应人必须详阅谈判文件的所有事项、格式、条款等。响应人若未按谈判文件的要求和规范编制、提交响应文件，将有可能导致响应文件被拒绝接受或无效谈判，所造成的负面后果由响应人负责。</w:t>
      </w:r>
    </w:p>
    <w:p w14:paraId="7E9827DF">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highlight w:val="none"/>
          <w:lang w:bidi="ar"/>
        </w:rPr>
      </w:pPr>
      <w:bookmarkStart w:id="31" w:name="_Toc9344"/>
      <w:bookmarkStart w:id="32" w:name="_Toc198856077"/>
      <w:bookmarkStart w:id="33" w:name="_Toc217446040"/>
      <w:bookmarkStart w:id="34" w:name="_Toc31783"/>
      <w:bookmarkStart w:id="35" w:name="_Toc183582211"/>
      <w:bookmarkStart w:id="36" w:name="_Toc183682348"/>
      <w:bookmarkStart w:id="37" w:name="_Toc488335933"/>
      <w:bookmarkStart w:id="38" w:name="_Toc5932"/>
      <w:r>
        <w:rPr>
          <w:rFonts w:hint="eastAsia" w:ascii="仿宋_GB2312" w:hAnsi="Times New Roman" w:eastAsia="仿宋_GB2312" w:cs="仿宋_GB2312"/>
          <w:b/>
          <w:bCs/>
          <w:color w:val="000000"/>
          <w:kern w:val="2"/>
          <w:sz w:val="28"/>
          <w:szCs w:val="28"/>
          <w:highlight w:val="none"/>
          <w:lang w:bidi="ar"/>
        </w:rPr>
        <w:t>（六）谈判文件的澄清、更正或补充</w:t>
      </w:r>
    </w:p>
    <w:p w14:paraId="52375E8D">
      <w:pPr>
        <w:widowControl w:val="0"/>
        <w:spacing w:before="0" w:after="0" w:line="576" w:lineRule="exact"/>
        <w:ind w:firstLine="560" w:firstLineChars="200"/>
        <w:jc w:val="both"/>
        <w:outlineLvl w:val="9"/>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1.响应人在收到谈判文件后，若有疑问需要澄清，</w:t>
      </w:r>
      <w:r>
        <w:rPr>
          <w:rFonts w:hint="eastAsia" w:ascii="仿宋_GB2312" w:hAnsi="仿宋_GB2312" w:eastAsia="仿宋_GB2312" w:cs="仿宋_GB2312"/>
          <w:b w:val="0"/>
          <w:bCs/>
          <w:color w:val="auto"/>
          <w:sz w:val="28"/>
          <w:szCs w:val="28"/>
          <w:highlight w:val="none"/>
        </w:rPr>
        <w:t>应于报价截止时间3个工作日前以书面形式向采购人提出</w:t>
      </w:r>
      <w:r>
        <w:rPr>
          <w:rFonts w:hint="eastAsia" w:ascii="仿宋_GB2312" w:hAnsi="仿宋_GB2312" w:eastAsia="仿宋_GB2312" w:cs="仿宋_GB2312"/>
          <w:bCs/>
          <w:color w:val="auto"/>
          <w:sz w:val="28"/>
          <w:szCs w:val="28"/>
          <w:highlight w:val="none"/>
        </w:rPr>
        <w:t>，采购人</w:t>
      </w:r>
      <w:r>
        <w:rPr>
          <w:rFonts w:hint="eastAsia" w:ascii="仿宋_GB2312" w:hAnsi="仿宋_GB2312" w:eastAsia="仿宋_GB2312" w:cs="仿宋_GB2312"/>
          <w:color w:val="000000"/>
          <w:kern w:val="0"/>
          <w:sz w:val="28"/>
          <w:szCs w:val="28"/>
          <w:lang w:val="en-US" w:eastAsia="zh-CN" w:bidi="ar"/>
        </w:rPr>
        <w:t>将通过</w:t>
      </w:r>
      <w:r>
        <w:rPr>
          <w:rFonts w:hint="eastAsia" w:ascii="仿宋_GB2312" w:hAnsi="仿宋_GB2312" w:eastAsia="仿宋_GB2312" w:cs="仿宋_GB2312"/>
          <w:color w:val="auto"/>
          <w:sz w:val="28"/>
          <w:szCs w:val="28"/>
          <w:highlight w:val="none"/>
        </w:rPr>
        <w:t>本项目采购信息指定发布媒体</w:t>
      </w:r>
      <w:r>
        <w:rPr>
          <w:rFonts w:hint="eastAsia" w:ascii="仿宋_GB2312" w:hAnsi="仿宋_GB2312" w:eastAsia="仿宋_GB2312" w:cs="仿宋_GB2312"/>
          <w:color w:val="000000"/>
          <w:kern w:val="0"/>
          <w:sz w:val="28"/>
          <w:szCs w:val="28"/>
          <w:lang w:val="en-US" w:eastAsia="zh-CN" w:bidi="ar"/>
        </w:rPr>
        <w:t>答复或者发布比选文件的澄清、修改。</w:t>
      </w:r>
    </w:p>
    <w:bookmarkEnd w:id="31"/>
    <w:bookmarkEnd w:id="32"/>
    <w:bookmarkEnd w:id="33"/>
    <w:bookmarkEnd w:id="34"/>
    <w:bookmarkEnd w:id="35"/>
    <w:bookmarkEnd w:id="36"/>
    <w:bookmarkEnd w:id="37"/>
    <w:bookmarkEnd w:id="38"/>
    <w:p w14:paraId="1EEF2E0F">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2.谈判文件的更正或补充</w:t>
      </w:r>
    </w:p>
    <w:p w14:paraId="0E3CF425">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（1）在</w:t>
      </w:r>
      <w:r>
        <w:rPr>
          <w:rFonts w:hint="eastAsia" w:ascii="仿宋_GB2312" w:hAnsi="仿宋_GB2312" w:eastAsia="仿宋_GB2312" w:cs="仿宋_GB2312"/>
          <w:bCs/>
          <w:sz w:val="28"/>
          <w:szCs w:val="28"/>
          <w:lang w:val="en-US" w:eastAsia="zh-CN"/>
        </w:rPr>
        <w:t>响应</w:t>
      </w:r>
      <w:r>
        <w:rPr>
          <w:rFonts w:hint="eastAsia" w:ascii="仿宋_GB2312" w:hAnsi="仿宋_GB2312" w:eastAsia="仿宋_GB2312" w:cs="仿宋_GB2312"/>
          <w:bCs/>
          <w:sz w:val="28"/>
          <w:szCs w:val="28"/>
        </w:rPr>
        <w:t>截止时间前，</w:t>
      </w:r>
      <w:r>
        <w:rPr>
          <w:rFonts w:hint="eastAsia" w:ascii="仿宋_GB2312" w:hAnsi="仿宋_GB2312" w:eastAsia="仿宋_GB2312" w:cs="仿宋_GB2312"/>
          <w:bCs/>
          <w:sz w:val="28"/>
          <w:szCs w:val="28"/>
          <w:lang w:val="en-US" w:eastAsia="zh-CN"/>
        </w:rPr>
        <w:t>采购人</w:t>
      </w:r>
      <w:r>
        <w:rPr>
          <w:rFonts w:hint="eastAsia" w:ascii="仿宋_GB2312" w:hAnsi="仿宋_GB2312" w:eastAsia="仿宋_GB2312" w:cs="仿宋_GB2312"/>
          <w:color w:val="000000"/>
          <w:kern w:val="0"/>
          <w:sz w:val="28"/>
          <w:szCs w:val="28"/>
          <w:lang w:val="en-US" w:eastAsia="zh-CN" w:bidi="ar"/>
        </w:rPr>
        <w:t>可以对已发出的谈判文件进行必要的澄清、修改，并通过</w:t>
      </w:r>
      <w:r>
        <w:rPr>
          <w:rFonts w:hint="eastAsia" w:ascii="仿宋_GB2312" w:hAnsi="仿宋_GB2312" w:eastAsia="仿宋_GB2312" w:cs="仿宋_GB2312"/>
          <w:color w:val="auto"/>
          <w:sz w:val="28"/>
          <w:szCs w:val="28"/>
          <w:highlight w:val="none"/>
        </w:rPr>
        <w:t>本项目采购信息指定发布媒体</w:t>
      </w:r>
      <w:r>
        <w:rPr>
          <w:rFonts w:hint="eastAsia" w:ascii="仿宋_GB2312" w:hAnsi="仿宋_GB2312" w:eastAsia="仿宋_GB2312" w:cs="仿宋_GB2312"/>
          <w:color w:val="000000"/>
          <w:kern w:val="0"/>
          <w:sz w:val="28"/>
          <w:szCs w:val="28"/>
          <w:lang w:val="en-US" w:eastAsia="zh-CN" w:bidi="ar"/>
        </w:rPr>
        <w:t>发布更正公告，</w:t>
      </w:r>
      <w:r>
        <w:rPr>
          <w:rFonts w:hint="eastAsia" w:ascii="仿宋_GB2312" w:hAnsi="仿宋_GB2312" w:eastAsia="仿宋_GB2312" w:cs="仿宋_GB2312"/>
          <w:bCs/>
          <w:sz w:val="28"/>
          <w:szCs w:val="28"/>
          <w:lang w:val="en-US" w:eastAsia="zh-CN"/>
        </w:rPr>
        <w:t>更正公告</w:t>
      </w:r>
      <w:r>
        <w:rPr>
          <w:rFonts w:hint="eastAsia" w:ascii="仿宋_GB2312" w:hAnsi="仿宋_GB2312" w:eastAsia="仿宋_GB2312" w:cs="仿宋_GB2312"/>
          <w:bCs/>
          <w:sz w:val="28"/>
          <w:szCs w:val="28"/>
        </w:rPr>
        <w:t>作为谈判文件的组成部分，对响应人起同等约束作用。</w:t>
      </w:r>
    </w:p>
    <w:p w14:paraId="2E9349BB">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（2）当谈判文件与更正公告的内容相互矛盾时，以采购人最后发出的更正公告为准。</w:t>
      </w:r>
    </w:p>
    <w:p w14:paraId="781666AB">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（3）为使响应人有足够的时间按谈判文件的更正要求修正响应文件，采购人有权决定推迟报价截止日期，并</w:t>
      </w:r>
      <w:r>
        <w:rPr>
          <w:rFonts w:hint="eastAsia" w:ascii="仿宋_GB2312" w:hAnsi="仿宋_GB2312" w:eastAsia="仿宋_GB2312" w:cs="仿宋_GB2312"/>
          <w:bCs/>
          <w:sz w:val="28"/>
          <w:szCs w:val="28"/>
          <w:lang w:val="en-US" w:eastAsia="zh-CN"/>
        </w:rPr>
        <w:t>随更正公告一起发出</w:t>
      </w:r>
      <w:r>
        <w:rPr>
          <w:rFonts w:hint="eastAsia" w:ascii="仿宋_GB2312" w:hAnsi="仿宋_GB2312" w:eastAsia="仿宋_GB2312" w:cs="仿宋_GB2312"/>
          <w:bCs/>
          <w:sz w:val="28"/>
          <w:szCs w:val="28"/>
        </w:rPr>
        <w:t>。</w:t>
      </w:r>
    </w:p>
    <w:p w14:paraId="423FD78C">
      <w:pPr>
        <w:widowControl w:val="0"/>
        <w:spacing w:before="0" w:after="0" w:line="576" w:lineRule="exact"/>
        <w:ind w:firstLine="562" w:firstLineChars="200"/>
        <w:jc w:val="both"/>
        <w:outlineLvl w:val="2"/>
        <w:rPr>
          <w:rFonts w:hint="eastAsia" w:ascii="仿宋_GB2312" w:hAnsi="仿宋_GB2312" w:eastAsia="仿宋_GB2312" w:cs="仿宋_GB2312"/>
          <w:b/>
          <w:bCs w:val="0"/>
          <w:sz w:val="28"/>
          <w:szCs w:val="28"/>
        </w:rPr>
      </w:pPr>
      <w:bookmarkStart w:id="39" w:name="_Toc488335934"/>
      <w:bookmarkStart w:id="40" w:name="_Toc4644"/>
      <w:bookmarkStart w:id="41" w:name="_Toc198856078"/>
      <w:r>
        <w:rPr>
          <w:rFonts w:hint="eastAsia" w:ascii="仿宋_GB2312" w:hAnsi="Times New Roman" w:eastAsia="仿宋_GB2312" w:cs="仿宋_GB2312"/>
          <w:b/>
          <w:bCs/>
          <w:color w:val="000000"/>
          <w:kern w:val="2"/>
          <w:sz w:val="28"/>
          <w:szCs w:val="28"/>
          <w:lang w:bidi="ar"/>
        </w:rPr>
        <w:t>（七）现场踏勘</w:t>
      </w:r>
      <w:bookmarkEnd w:id="39"/>
      <w:bookmarkEnd w:id="40"/>
      <w:r>
        <w:rPr>
          <w:rFonts w:hint="eastAsia" w:ascii="仿宋_GB2312" w:hAnsi="仿宋_GB2312" w:eastAsia="仿宋_GB2312" w:cs="仿宋_GB2312"/>
          <w:b/>
          <w:bCs w:val="0"/>
          <w:sz w:val="28"/>
          <w:szCs w:val="28"/>
        </w:rPr>
        <w:t>（本项目：□组织/</w:t>
      </w:r>
      <w:r>
        <w:rPr>
          <w:rFonts w:hint="eastAsia" w:ascii="仿宋_GB2312" w:hAnsi="仿宋_GB2312" w:eastAsia="仿宋_GB2312" w:cs="仿宋_GB2312"/>
          <w:b/>
          <w:bCs w:val="0"/>
          <w:sz w:val="28"/>
          <w:szCs w:val="28"/>
        </w:rPr>
        <w:sym w:font="Wingdings" w:char="00FE"/>
      </w:r>
      <w:r>
        <w:rPr>
          <w:rFonts w:hint="eastAsia" w:ascii="仿宋_GB2312" w:hAnsi="仿宋_GB2312" w:eastAsia="仿宋_GB2312" w:cs="仿宋_GB2312"/>
          <w:b/>
          <w:bCs w:val="0"/>
          <w:sz w:val="28"/>
          <w:szCs w:val="28"/>
        </w:rPr>
        <w:t>不组织）</w:t>
      </w:r>
      <w:bookmarkEnd w:id="41"/>
    </w:p>
    <w:p w14:paraId="0D52EE84">
      <w:pPr>
        <w:widowControl w:val="0"/>
        <w:adjustRightInd/>
        <w:snapToGrid/>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1.响应人自行进行现场踏勘。</w:t>
      </w:r>
    </w:p>
    <w:p w14:paraId="7902403A">
      <w:pPr>
        <w:widowControl w:val="0"/>
        <w:adjustRightInd/>
        <w:snapToGrid/>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2.响应人现场踏勘所发生的一切费用由响应人自己承担。</w:t>
      </w:r>
    </w:p>
    <w:p w14:paraId="5C576630">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42" w:name="_Toc198856079"/>
      <w:r>
        <w:rPr>
          <w:rFonts w:hint="eastAsia" w:ascii="仿宋_GB2312" w:hAnsi="Times New Roman" w:eastAsia="仿宋_GB2312" w:cs="仿宋_GB2312"/>
          <w:b/>
          <w:bCs/>
          <w:color w:val="000000"/>
          <w:kern w:val="2"/>
          <w:sz w:val="28"/>
          <w:szCs w:val="28"/>
          <w:lang w:bidi="ar"/>
        </w:rPr>
        <w:t>（八）响应文件</w:t>
      </w:r>
      <w:bookmarkEnd w:id="42"/>
    </w:p>
    <w:p w14:paraId="20AD6EF8">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响应人须按谈判文件的要求编写响应文件，对谈判文件提出的要求和条件作出实质性响应。响应文件应包括但不限于下列内容：</w:t>
      </w:r>
    </w:p>
    <w:p w14:paraId="75DBA71F">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1.资格性响应文件</w:t>
      </w:r>
    </w:p>
    <w:p w14:paraId="5D13FB4E">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符合资格预审条件要求。</w:t>
      </w:r>
    </w:p>
    <w:p w14:paraId="738C4281">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2.技术、服务性响应文件</w:t>
      </w:r>
    </w:p>
    <w:p w14:paraId="0C523E03">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包括响应函、采购需求响应表、实施方案、服务承诺、业绩、报价组成因素（参与响应的货物或服务清单）等文件。</w:t>
      </w:r>
    </w:p>
    <w:p w14:paraId="14E2501C">
      <w:pPr>
        <w:widowControl w:val="0"/>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3.本项目谈判有效期为响应文件递交截止之日起计算的120天，有效期短于此规定期限的响应，将被拒绝。</w:t>
      </w:r>
    </w:p>
    <w:p w14:paraId="0FD01FEE">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43" w:name="_Toc198856080"/>
      <w:r>
        <w:rPr>
          <w:rFonts w:hint="eastAsia" w:ascii="仿宋_GB2312" w:hAnsi="Times New Roman" w:eastAsia="仿宋_GB2312" w:cs="仿宋_GB2312"/>
          <w:b/>
          <w:bCs/>
          <w:color w:val="000000"/>
          <w:kern w:val="2"/>
          <w:sz w:val="28"/>
          <w:szCs w:val="28"/>
          <w:lang w:bidi="ar"/>
        </w:rPr>
        <w:t>（九）报价</w:t>
      </w:r>
      <w:bookmarkEnd w:id="43"/>
    </w:p>
    <w:p w14:paraId="3F88AED5">
      <w:pPr>
        <w:widowControl w:val="0"/>
        <w:spacing w:before="0" w:after="0" w:line="576" w:lineRule="exact"/>
        <w:ind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1.所有报价一律以人民币报价。采购人不接受任何非人民币币种的报价。</w:t>
      </w:r>
    </w:p>
    <w:p w14:paraId="2456F972">
      <w:pPr>
        <w:widowControl w:val="0"/>
        <w:spacing w:before="0" w:after="0" w:line="576" w:lineRule="exact"/>
        <w:ind w:firstLineChars="200"/>
        <w:jc w:val="both"/>
        <w:outlineLvl w:val="9"/>
        <w:rPr>
          <w:rFonts w:hint="eastAsia" w:ascii="仿宋_GB2312" w:hAnsi="仿宋_GB2312" w:eastAsia="仿宋_GB2312" w:cs="仿宋_GB2312"/>
          <w:szCs w:val="28"/>
        </w:rPr>
      </w:pPr>
      <w:r>
        <w:rPr>
          <w:rFonts w:hint="eastAsia" w:ascii="仿宋_GB2312" w:hAnsi="仿宋_GB2312" w:eastAsia="仿宋_GB2312" w:cs="仿宋_GB2312"/>
          <w:bCs/>
          <w:sz w:val="28"/>
          <w:szCs w:val="28"/>
        </w:rPr>
        <w:t>2.响应人报价应为完成本竞争性谈判文件中所要求的服务所应包括内容的所有价格。</w:t>
      </w:r>
    </w:p>
    <w:p w14:paraId="37AC8FA3">
      <w:pPr>
        <w:widowControl w:val="0"/>
        <w:spacing w:before="0" w:after="0"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44" w:name="_Toc198856081"/>
      <w:r>
        <w:rPr>
          <w:rFonts w:hint="eastAsia" w:ascii="仿宋_GB2312" w:hAnsi="Times New Roman" w:eastAsia="仿宋_GB2312" w:cs="仿宋_GB2312"/>
          <w:b/>
          <w:bCs/>
          <w:color w:val="000000"/>
          <w:kern w:val="2"/>
          <w:sz w:val="28"/>
          <w:szCs w:val="28"/>
          <w:lang w:bidi="ar"/>
        </w:rPr>
        <w:t>（十）响应文件的递交</w:t>
      </w:r>
      <w:bookmarkEnd w:id="44"/>
    </w:p>
    <w:p w14:paraId="6D9E2655">
      <w:pPr>
        <w:widowControl w:val="0"/>
        <w:spacing w:before="0" w:after="0" w:line="576" w:lineRule="exact"/>
        <w:ind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1.响应文件分资格性响应文件和技术、服务性响应文件两部分，参选方须由法定代表人或授权代表（具有法定代表人委托书）持有效身份证明参加，并签名报到，以证明其出席评选会，否则视为自动弃权。</w:t>
      </w:r>
    </w:p>
    <w:p w14:paraId="5DA5FB3A">
      <w:pPr>
        <w:widowControl w:val="0"/>
        <w:spacing w:before="0" w:after="0" w:line="576" w:lineRule="exact"/>
        <w:ind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应当准备响应文件正本1份、副本2份，响应文件电子版（提交Word和PDF两种格式），PDF版格式电子文件内容包括响应文件的所有内容（含签字及盖章），由U盘保存并标贴标记，电子文档与纸质响应文件具有同等的法律效力。响应文件的正本和副本应在其封面清楚地标明“正本”或“副本”字样。若正本、副本和电子版有不一致的内容，以正本书面响应文件为准。</w:t>
      </w:r>
    </w:p>
    <w:p w14:paraId="246A8F34">
      <w:pPr>
        <w:widowControl w:val="0"/>
        <w:spacing w:before="0" w:after="0" w:line="576" w:lineRule="exact"/>
        <w:ind w:firstLineChars="200"/>
        <w:jc w:val="both"/>
        <w:outlineLvl w:val="9"/>
        <w:rPr>
          <w:rFonts w:hint="eastAsia" w:ascii="仿宋_GB2312" w:hAnsi="仿宋_GB2312" w:eastAsia="仿宋_GB2312" w:cs="仿宋_GB2312"/>
          <w:szCs w:val="28"/>
        </w:rPr>
      </w:pPr>
      <w:r>
        <w:rPr>
          <w:rFonts w:hint="eastAsia" w:ascii="仿宋_GB2312" w:hAnsi="仿宋_GB2312" w:eastAsia="仿宋_GB2312" w:cs="仿宋_GB2312"/>
          <w:bCs/>
          <w:sz w:val="28"/>
          <w:szCs w:val="28"/>
        </w:rPr>
        <w:t>3.响应文件的正本和副本均需打印或用不褪色、不变质的墨水书写，并胶装成册，响应文件副本采用正本的复印件。</w:t>
      </w:r>
    </w:p>
    <w:p w14:paraId="3D68BB75">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4.响应文件的打印和书写应清楚工整，不得有任何涂改或增删。字迹潦草、表达不清、信息模糊或可能导致非唯一理解的响应文件可视为无效响应。</w:t>
      </w:r>
    </w:p>
    <w:p w14:paraId="41321C2E">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5.响应文件正本和副本必须装订成册，正本须由响应人的法定代表人或授权代表逐页签署并盖章，不得采用活页式装订。</w:t>
      </w:r>
    </w:p>
    <w:p w14:paraId="35ACD13F">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6.响应文件应根据谈判文件的要求制作，内容应完整，未按要求制作和编写的响应文件视为无效响应，超过响应截止时间以后送达的响应文件将被拒绝。</w:t>
      </w:r>
    </w:p>
    <w:p w14:paraId="280570F0">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7.响应文件统一用A4幅面纸印制。</w:t>
      </w:r>
    </w:p>
    <w:p w14:paraId="3E8122DC">
      <w:pPr>
        <w:widowControl w:val="0"/>
        <w:spacing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45" w:name="_Toc198856082"/>
      <w:r>
        <w:rPr>
          <w:rFonts w:hint="eastAsia" w:ascii="仿宋_GB2312" w:hAnsi="Times New Roman" w:eastAsia="仿宋_GB2312" w:cs="仿宋_GB2312"/>
          <w:b/>
          <w:bCs/>
          <w:color w:val="000000"/>
          <w:kern w:val="2"/>
          <w:sz w:val="28"/>
          <w:szCs w:val="28"/>
          <w:lang w:bidi="ar"/>
        </w:rPr>
        <w:t>（十一）响应文件的密封及标记</w:t>
      </w:r>
      <w:bookmarkEnd w:id="45"/>
    </w:p>
    <w:p w14:paraId="7DCEE08F">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1.应在响应文件正本和所有副本的封面上注明响应人名称、地址、联系电话、法定代表人姓名及授权代表姓名并签字、项目编号、项目名称及分包号（如有分包）。</w:t>
      </w:r>
    </w:p>
    <w:p w14:paraId="4DAF3188">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响应人所递交响应文件正本、响应文件副本、电子文档和谈判通知书要求单独提交的其他材料应分别封装于不同的密封袋（箱）内，密封袋（箱）内，加贴封条并在封套封口处加盖单位公章及授权人签字、授权代表签字。封套上均应写明：</w:t>
      </w:r>
    </w:p>
    <w:p w14:paraId="68708D78">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致：</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（采购人名称）</w:t>
      </w:r>
    </w:p>
    <w:p w14:paraId="5EC67F7A">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项目名称：</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w:t>
      </w:r>
    </w:p>
    <w:p w14:paraId="5394BE43">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分包号：</w:t>
      </w:r>
      <w:r>
        <w:rPr>
          <w:rFonts w:hint="eastAsia" w:ascii="仿宋_GB2312" w:hAnsi="仿宋_GB2312" w:eastAsia="仿宋_GB2312" w:cs="仿宋_GB2312"/>
          <w:szCs w:val="28"/>
          <w:u w:val="single"/>
        </w:rPr>
        <w:t xml:space="preserve">   /  </w:t>
      </w:r>
      <w:r>
        <w:rPr>
          <w:rFonts w:hint="eastAsia" w:ascii="仿宋_GB2312" w:hAnsi="仿宋_GB2312" w:eastAsia="仿宋_GB2312" w:cs="仿宋_GB2312"/>
          <w:szCs w:val="28"/>
        </w:rPr>
        <w:t>包</w:t>
      </w:r>
    </w:p>
    <w:p w14:paraId="1CAA9DD6">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注明：“请勿在响应文件递交截止时间之前启封”</w:t>
      </w:r>
    </w:p>
    <w:p w14:paraId="668BCD3F">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响应人名称、法定代表人姓名、联系人姓名和电话</w:t>
      </w:r>
    </w:p>
    <w:p w14:paraId="46A260CE">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3.若响应文件未按规定书写标记和密封者，采购人有权拒绝接收，由此引起的后果由响应人自行负责。</w:t>
      </w:r>
    </w:p>
    <w:p w14:paraId="38DD482C">
      <w:pPr>
        <w:widowControl w:val="0"/>
        <w:spacing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46" w:name="_Toc198856083"/>
      <w:r>
        <w:rPr>
          <w:rFonts w:hint="eastAsia" w:ascii="仿宋_GB2312" w:hAnsi="Times New Roman" w:eastAsia="仿宋_GB2312" w:cs="仿宋_GB2312"/>
          <w:b/>
          <w:bCs/>
          <w:color w:val="000000"/>
          <w:kern w:val="2"/>
          <w:sz w:val="28"/>
          <w:szCs w:val="28"/>
          <w:lang w:bidi="ar"/>
        </w:rPr>
        <w:t>（十二）响应文件格式</w:t>
      </w:r>
      <w:bookmarkEnd w:id="46"/>
    </w:p>
    <w:p w14:paraId="4255AC7C">
      <w:pPr>
        <w:widowControl w:val="0"/>
        <w:spacing w:before="0" w:after="0" w:line="576" w:lineRule="exact"/>
        <w:ind w:firstLine="560" w:firstLineChars="200"/>
        <w:jc w:val="both"/>
        <w:outlineLvl w:val="9"/>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应严格按照谈判文件第四章中提供的“响应文件格式”填写相关内容。除明确允许响应人可以自行编写的外，响应人不得以“响应文件格式”规定之外的方式填写相关内容，否则以无效响应处理。</w:t>
      </w:r>
    </w:p>
    <w:p w14:paraId="483527D4">
      <w:pPr>
        <w:widowControl w:val="0"/>
        <w:spacing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47" w:name="_Toc198856084"/>
      <w:r>
        <w:rPr>
          <w:rFonts w:hint="eastAsia" w:ascii="仿宋_GB2312" w:hAnsi="Times New Roman" w:eastAsia="仿宋_GB2312" w:cs="仿宋_GB2312"/>
          <w:b/>
          <w:bCs/>
          <w:color w:val="000000"/>
          <w:kern w:val="2"/>
          <w:sz w:val="28"/>
          <w:szCs w:val="28"/>
          <w:lang w:bidi="ar"/>
        </w:rPr>
        <w:t>（十三）确定成交候选人</w:t>
      </w:r>
      <w:bookmarkEnd w:id="47"/>
    </w:p>
    <w:p w14:paraId="1FA5D752">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1.谈判小组应当在评审结束后3个工作日内将评审报告送采购人确认。</w:t>
      </w:r>
    </w:p>
    <w:p w14:paraId="352AF589">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2.采购人在收到评审报告后5个工作日内，按照评审报告中推荐的成交候选响应人顺序确定成交响应人。</w:t>
      </w:r>
    </w:p>
    <w:p w14:paraId="4AC8F5B0">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3.采购人确定成交人过程中，发现成交候选人有下列情形之一的，将不予确定其为成交人：</w:t>
      </w:r>
    </w:p>
    <w:p w14:paraId="475A095E">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（1）成交候选人存在违法、违纪行为的；</w:t>
      </w:r>
    </w:p>
    <w:p w14:paraId="77099BDF">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（2）成交候选人因不可抗力、社会经济形势发生重大变化、破产、重组等原因确定无法履行政府采购合同的；</w:t>
      </w:r>
    </w:p>
    <w:p w14:paraId="454F08DB">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（3）成交候选人书面自愿放弃成交，且无其他非法目的的；</w:t>
      </w:r>
    </w:p>
    <w:p w14:paraId="4E700FB0">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（4）其他不应确定成交人的情形。</w:t>
      </w:r>
    </w:p>
    <w:p w14:paraId="2E374F1D">
      <w:pPr>
        <w:widowControl w:val="0"/>
        <w:tabs>
          <w:tab w:val="left" w:pos="0"/>
          <w:tab w:val="left" w:pos="1080"/>
        </w:tabs>
        <w:spacing w:before="0" w:after="0" w:line="576" w:lineRule="exact"/>
        <w:ind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成交候选人有本款情形之一的，采购人将确定后一位成交候选人为成交人。依此类推。无法确定成交人的，采购人将重新组织采购。</w:t>
      </w:r>
    </w:p>
    <w:p w14:paraId="2EDD019B">
      <w:pPr>
        <w:widowControl w:val="0"/>
        <w:spacing w:line="576" w:lineRule="exact"/>
        <w:ind w:firstLine="562" w:firstLineChars="200"/>
        <w:jc w:val="both"/>
        <w:outlineLvl w:val="2"/>
        <w:rPr>
          <w:rFonts w:hint="eastAsia" w:ascii="仿宋_GB2312" w:hAnsi="Times New Roman" w:eastAsia="仿宋_GB2312" w:cs="仿宋_GB2312"/>
          <w:b/>
          <w:bCs/>
          <w:color w:val="000000"/>
          <w:kern w:val="2"/>
          <w:sz w:val="28"/>
          <w:szCs w:val="28"/>
          <w:lang w:bidi="ar"/>
        </w:rPr>
      </w:pPr>
      <w:bookmarkStart w:id="48" w:name="_Toc198856085"/>
      <w:r>
        <w:rPr>
          <w:rFonts w:hint="eastAsia" w:ascii="仿宋_GB2312" w:hAnsi="Times New Roman" w:eastAsia="仿宋_GB2312" w:cs="仿宋_GB2312"/>
          <w:b/>
          <w:bCs/>
          <w:color w:val="000000"/>
          <w:kern w:val="2"/>
          <w:sz w:val="28"/>
          <w:szCs w:val="28"/>
          <w:lang w:bidi="ar"/>
        </w:rPr>
        <w:t>（十四）成交通知</w:t>
      </w:r>
      <w:bookmarkEnd w:id="48"/>
    </w:p>
    <w:p w14:paraId="273EC198">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采购人按成交候选人的排名顺序确定成交人并向成交人发出成交通知书。</w:t>
      </w:r>
    </w:p>
    <w:p w14:paraId="5CAE57C8">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成交信息将在本项目采购信息指定发布媒体进行公告，公告期不少于3天。响应人对谈判成交结果有异议的应在成交结果公示的1天内以书面形式向谈判小组或公司采购管理部门、纪检监察部门提出，谈判小组应在1天内进行书面答复。</w:t>
      </w:r>
    </w:p>
    <w:p w14:paraId="5394763B">
      <w:pPr>
        <w:widowControl w:val="0"/>
        <w:adjustRightInd/>
        <w:snapToGrid/>
        <w:spacing w:before="0" w:after="0"/>
        <w:ind w:firstLine="562"/>
        <w:outlineLvl w:val="2"/>
        <w:rPr>
          <w:rFonts w:hint="eastAsia" w:ascii="仿宋_GB2312" w:hAnsi="Times New Roman" w:eastAsia="仿宋_GB2312" w:cs="仿宋_GB2312"/>
          <w:b/>
          <w:bCs/>
          <w:color w:val="000000"/>
          <w:kern w:val="2"/>
          <w:sz w:val="28"/>
          <w:szCs w:val="28"/>
          <w:lang w:bidi="ar"/>
        </w:rPr>
      </w:pPr>
      <w:bookmarkStart w:id="49" w:name="_Toc198856086"/>
      <w:bookmarkStart w:id="50" w:name="_Toc24534"/>
      <w:bookmarkStart w:id="51" w:name="_Toc28947"/>
      <w:bookmarkStart w:id="52" w:name="_Toc217446065"/>
      <w:bookmarkStart w:id="53" w:name="_Toc327324318"/>
      <w:r>
        <w:rPr>
          <w:rFonts w:hint="eastAsia" w:ascii="仿宋_GB2312" w:hAnsi="Times New Roman" w:eastAsia="仿宋_GB2312" w:cs="仿宋_GB2312"/>
          <w:b/>
          <w:bCs/>
          <w:color w:val="000000"/>
          <w:kern w:val="2"/>
          <w:sz w:val="28"/>
          <w:szCs w:val="28"/>
          <w:lang w:bidi="ar"/>
        </w:rPr>
        <w:t>（十五）履约保证金（本项目：□涉及/☑不涉及）</w:t>
      </w:r>
      <w:bookmarkEnd w:id="49"/>
    </w:p>
    <w:p w14:paraId="5B1056C5">
      <w:pPr>
        <w:pStyle w:val="37"/>
        <w:widowControl w:val="0"/>
        <w:spacing w:before="0" w:after="0" w:line="576" w:lineRule="exact"/>
        <w:ind w:left="0" w:leftChars="0" w:firstLine="560"/>
        <w:rPr>
          <w:rFonts w:hint="eastAsia" w:ascii="仿宋_GB2312" w:hAnsi="仿宋_GB2312" w:eastAsia="仿宋_GB2312" w:cs="仿宋_GB2312"/>
          <w:szCs w:val="28"/>
        </w:rPr>
      </w:pPr>
      <w:r>
        <w:rPr>
          <w:rFonts w:hint="eastAsia" w:ascii="仿宋_GB2312" w:hAnsi="仿宋_GB2312" w:eastAsia="仿宋_GB2312" w:cs="仿宋_GB2312"/>
          <w:szCs w:val="28"/>
        </w:rPr>
        <w:t>1.成交人应在合同签订之前</w:t>
      </w:r>
      <w:r>
        <w:rPr>
          <w:rFonts w:hint="eastAsia" w:ascii="仿宋_GB2312" w:hAnsi="仿宋_GB2312" w:eastAsia="仿宋_GB2312" w:cs="仿宋_GB2312"/>
          <w:szCs w:val="28"/>
          <w:lang w:val="en-US" w:eastAsia="zh-CN"/>
        </w:rPr>
        <w:t>缴纳</w:t>
      </w:r>
      <w:r>
        <w:rPr>
          <w:rFonts w:hint="eastAsia" w:ascii="仿宋_GB2312" w:hAnsi="仿宋_GB2312" w:eastAsia="仿宋_GB2312" w:cs="仿宋_GB2312"/>
          <w:szCs w:val="28"/>
        </w:rPr>
        <w:t>谈判文件规定数额的履约保证金。</w:t>
      </w:r>
    </w:p>
    <w:p w14:paraId="5B0FC44B">
      <w:pPr>
        <w:pStyle w:val="37"/>
        <w:widowControl w:val="0"/>
        <w:spacing w:before="0" w:after="0" w:line="576" w:lineRule="exact"/>
        <w:ind w:left="0" w:leftChars="0" w:firstLine="560"/>
        <w:rPr>
          <w:rFonts w:hint="eastAsia" w:ascii="仿宋_GB2312" w:hAnsi="仿宋_GB2312" w:eastAsia="仿宋_GB2312" w:cs="仿宋_GB2312"/>
          <w:szCs w:val="28"/>
        </w:rPr>
      </w:pPr>
      <w:r>
        <w:rPr>
          <w:rFonts w:hint="eastAsia" w:ascii="仿宋_GB2312" w:hAnsi="仿宋_GB2312" w:eastAsia="仿宋_GB2312" w:cs="仿宋_GB2312"/>
          <w:szCs w:val="28"/>
        </w:rPr>
        <w:t>2.如果成交人在规定的合同签订时间内，没有按照谈判文件的规定交纳履约保证金，且又无正当理由的，将视为放弃成交，其交纳的谈判保证金将不予退还。</w:t>
      </w:r>
    </w:p>
    <w:p w14:paraId="141381A3">
      <w:pPr>
        <w:widowControl w:val="0"/>
        <w:spacing w:before="0" w:after="0"/>
        <w:ind w:firstLine="562"/>
        <w:outlineLvl w:val="2"/>
        <w:rPr>
          <w:rFonts w:hint="eastAsia" w:ascii="仿宋_GB2312" w:hAnsi="Times New Roman" w:eastAsia="仿宋_GB2312" w:cs="仿宋_GB2312"/>
          <w:b/>
          <w:bCs/>
          <w:color w:val="000000"/>
          <w:kern w:val="2"/>
          <w:sz w:val="28"/>
          <w:szCs w:val="28"/>
          <w:lang w:bidi="ar"/>
        </w:rPr>
      </w:pPr>
      <w:bookmarkStart w:id="54" w:name="_Toc198856087"/>
      <w:r>
        <w:rPr>
          <w:rFonts w:hint="eastAsia" w:ascii="仿宋_GB2312" w:hAnsi="Times New Roman" w:eastAsia="仿宋_GB2312" w:cs="仿宋_GB2312"/>
          <w:b/>
          <w:bCs/>
          <w:color w:val="000000"/>
          <w:kern w:val="2"/>
          <w:sz w:val="28"/>
          <w:szCs w:val="28"/>
          <w:lang w:bidi="ar"/>
        </w:rPr>
        <w:t>（十六）签订合同</w:t>
      </w:r>
      <w:bookmarkEnd w:id="50"/>
      <w:bookmarkEnd w:id="51"/>
      <w:bookmarkEnd w:id="52"/>
      <w:bookmarkEnd w:id="54"/>
    </w:p>
    <w:p w14:paraId="336A85B5">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成交人在收到采购人发出的《成交通知书》后，应在规定的时间内按照谈判文件、响应文件以及谈判过程中确定的事项与采购人签订采购合同。由于成交人的原因逾期未与采购人签订采购合同的，将视为放弃成交，取消其成交资格并将按相关规定进行处理。</w:t>
      </w:r>
    </w:p>
    <w:p w14:paraId="278B7A39">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w:t>
      </w:r>
      <w:r>
        <w:rPr>
          <w:rFonts w:hint="eastAsia" w:ascii="仿宋_GB2312" w:hAnsi="仿宋_GB2312" w:eastAsia="仿宋_GB2312" w:cs="仿宋_GB2312"/>
          <w:kern w:val="0"/>
          <w:szCs w:val="28"/>
        </w:rPr>
        <w:t>谈判文件、响应人提交的响应文件、谈判中的最终报价、响应人承诺书、成交通知书等均成为有法律约束力的合同的组成内容。</w:t>
      </w:r>
    </w:p>
    <w:p w14:paraId="36F95B8E">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3.采购人不得向成交人提出任何不合理的要求，作为签订合同的条件，不得与成交人私下订立背离合同实质性内容的任何协议，所签订的合同不得对竞争性谈判文件和成交人响应文件作实质性修改。</w:t>
      </w:r>
    </w:p>
    <w:p w14:paraId="28A563B6">
      <w:pPr>
        <w:pStyle w:val="37"/>
        <w:widowControl w:val="0"/>
        <w:spacing w:before="0" w:after="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4.成交人因不可抗力原因不能履行采购合同或放弃成交的，采购人可以与排在成交人之后第一位的成交候选人签订采购合同，以此类推。</w:t>
      </w:r>
    </w:p>
    <w:p w14:paraId="2DF4F22D">
      <w:pPr>
        <w:widowControl w:val="0"/>
        <w:spacing w:before="0" w:after="0"/>
        <w:ind w:firstLine="562"/>
        <w:outlineLvl w:val="2"/>
        <w:rPr>
          <w:rFonts w:hint="eastAsia" w:ascii="仿宋_GB2312" w:hAnsi="Times New Roman" w:eastAsia="仿宋_GB2312" w:cs="仿宋_GB2312"/>
          <w:b/>
          <w:bCs/>
          <w:color w:val="000000"/>
          <w:kern w:val="2"/>
          <w:sz w:val="28"/>
          <w:szCs w:val="28"/>
          <w:lang w:bidi="ar"/>
        </w:rPr>
      </w:pPr>
      <w:bookmarkStart w:id="55" w:name="_Toc198856088"/>
      <w:bookmarkStart w:id="56" w:name="_Toc14795"/>
      <w:bookmarkStart w:id="57" w:name="_Toc31803"/>
      <w:bookmarkStart w:id="58" w:name="_Toc217446066"/>
      <w:r>
        <w:rPr>
          <w:rFonts w:hint="eastAsia" w:ascii="仿宋_GB2312" w:hAnsi="Times New Roman" w:eastAsia="仿宋_GB2312" w:cs="仿宋_GB2312"/>
          <w:b/>
          <w:bCs/>
          <w:color w:val="000000"/>
          <w:kern w:val="2"/>
          <w:sz w:val="28"/>
          <w:szCs w:val="28"/>
          <w:lang w:bidi="ar"/>
        </w:rPr>
        <w:t>（十七）合同分包</w:t>
      </w:r>
      <w:bookmarkEnd w:id="55"/>
      <w:bookmarkEnd w:id="56"/>
      <w:bookmarkEnd w:id="57"/>
      <w:bookmarkEnd w:id="58"/>
    </w:p>
    <w:p w14:paraId="7DA96B2F">
      <w:pPr>
        <w:pStyle w:val="37"/>
        <w:widowControl w:val="0"/>
        <w:spacing w:before="0" w:after="0" w:line="576" w:lineRule="exact"/>
        <w:ind w:firstLine="560"/>
        <w:outlineLvl w:val="9"/>
        <w:rPr>
          <w:rFonts w:hint="eastAsia" w:ascii="仿宋_GB2312" w:hAnsi="仿宋_GB2312" w:eastAsia="仿宋_GB2312" w:cs="仿宋_GB2312"/>
          <w:szCs w:val="28"/>
        </w:rPr>
      </w:pPr>
      <w:r>
        <w:rPr>
          <w:rFonts w:hint="eastAsia" w:ascii="仿宋_GB2312" w:hAnsi="仿宋_GB2312" w:eastAsia="仿宋_GB2312" w:cs="仿宋_GB2312"/>
          <w:szCs w:val="28"/>
        </w:rPr>
        <w:t>1.成交人可以依法采取分包方式履行合同但应当在响应文件中特别说明，包括分包响应人资质要求、履行的分包项目的品牌、规格型号及技术要求等，必须与成交的一致；本项目分包金额不得超过签约合同价的20%。</w:t>
      </w:r>
    </w:p>
    <w:p w14:paraId="36DAABBB">
      <w:pPr>
        <w:pStyle w:val="37"/>
        <w:widowControl w:val="0"/>
        <w:spacing w:before="0" w:after="0" w:line="576" w:lineRule="exact"/>
        <w:ind w:firstLine="560"/>
        <w:outlineLvl w:val="9"/>
        <w:rPr>
          <w:rFonts w:hint="eastAsia" w:ascii="仿宋_GB2312" w:hAnsi="仿宋_GB2312" w:eastAsia="仿宋_GB2312" w:cs="仿宋_GB2312"/>
          <w:szCs w:val="28"/>
        </w:rPr>
      </w:pPr>
      <w:r>
        <w:rPr>
          <w:rFonts w:hint="eastAsia" w:ascii="仿宋_GB2312" w:hAnsi="仿宋_GB2312" w:eastAsia="仿宋_GB2312" w:cs="仿宋_GB2312"/>
          <w:szCs w:val="28"/>
        </w:rPr>
        <w:t>2.采购合同实行分包履行的，成交人就采购项目和分包项目向采购人负责，分包响应人就分包项目承担责任。</w:t>
      </w:r>
    </w:p>
    <w:p w14:paraId="0A391CA9">
      <w:pPr>
        <w:widowControl w:val="0"/>
        <w:spacing w:before="0" w:after="0"/>
        <w:ind w:firstLine="562"/>
        <w:outlineLvl w:val="2"/>
        <w:rPr>
          <w:rFonts w:hint="eastAsia" w:ascii="仿宋_GB2312" w:hAnsi="Times New Roman" w:eastAsia="仿宋_GB2312" w:cs="仿宋_GB2312"/>
          <w:b/>
          <w:bCs/>
          <w:color w:val="000000"/>
          <w:kern w:val="2"/>
          <w:sz w:val="28"/>
          <w:szCs w:val="28"/>
          <w:lang w:bidi="ar"/>
        </w:rPr>
      </w:pPr>
      <w:bookmarkStart w:id="59" w:name="_Toc217446067"/>
      <w:bookmarkStart w:id="60" w:name="_Toc5707"/>
      <w:bookmarkStart w:id="61" w:name="_Toc198856089"/>
      <w:bookmarkStart w:id="62" w:name="_Toc18142"/>
      <w:r>
        <w:rPr>
          <w:rFonts w:hint="eastAsia" w:ascii="仿宋_GB2312" w:hAnsi="Times New Roman" w:eastAsia="仿宋_GB2312" w:cs="仿宋_GB2312"/>
          <w:b/>
          <w:bCs/>
          <w:color w:val="000000"/>
          <w:kern w:val="2"/>
          <w:sz w:val="28"/>
          <w:szCs w:val="28"/>
          <w:lang w:bidi="ar"/>
        </w:rPr>
        <w:t>（十八）采购人增加合同标的权</w:t>
      </w:r>
      <w:bookmarkEnd w:id="59"/>
      <w:r>
        <w:rPr>
          <w:rFonts w:hint="eastAsia" w:ascii="仿宋_GB2312" w:hAnsi="Times New Roman" w:eastAsia="仿宋_GB2312" w:cs="仿宋_GB2312"/>
          <w:b/>
          <w:bCs/>
          <w:color w:val="000000"/>
          <w:kern w:val="2"/>
          <w:sz w:val="28"/>
          <w:szCs w:val="28"/>
          <w:lang w:bidi="ar"/>
        </w:rPr>
        <w:t>利</w:t>
      </w:r>
      <w:bookmarkEnd w:id="60"/>
      <w:bookmarkEnd w:id="61"/>
      <w:bookmarkEnd w:id="62"/>
    </w:p>
    <w:p w14:paraId="01CC9AB1">
      <w:pPr>
        <w:pStyle w:val="37"/>
        <w:widowControl w:val="0"/>
        <w:spacing w:before="0" w:after="0" w:line="576" w:lineRule="exact"/>
        <w:ind w:firstLine="560"/>
        <w:outlineLvl w:val="9"/>
        <w:rPr>
          <w:rFonts w:hint="eastAsia" w:ascii="仿宋_GB2312" w:hAnsi="仿宋_GB2312" w:eastAsia="仿宋_GB2312" w:cs="仿宋_GB2312"/>
          <w:szCs w:val="28"/>
        </w:rPr>
      </w:pPr>
      <w:r>
        <w:rPr>
          <w:rFonts w:hint="eastAsia" w:ascii="仿宋_GB2312" w:hAnsi="仿宋_GB2312" w:eastAsia="仿宋_GB2312" w:cs="仿宋_GB2312"/>
          <w:szCs w:val="28"/>
        </w:rPr>
        <w:t>采购合同履行过程中，采购人需要追加与合同标的相同的货物或者服务的，在不改变合同其他条款的前提下，可以与成交响应人协商签订补充合同，但所有补充合同的采购金额不得超过原合同采购金额的10%。</w:t>
      </w:r>
    </w:p>
    <w:p w14:paraId="723FA232">
      <w:pPr>
        <w:widowControl w:val="0"/>
        <w:spacing w:before="0" w:after="0"/>
        <w:ind w:firstLine="562"/>
        <w:outlineLvl w:val="2"/>
        <w:rPr>
          <w:rFonts w:hint="eastAsia" w:ascii="仿宋_GB2312" w:hAnsi="Times New Roman" w:eastAsia="仿宋_GB2312" w:cs="仿宋_GB2312"/>
          <w:b/>
          <w:bCs/>
          <w:color w:val="000000"/>
          <w:kern w:val="2"/>
          <w:sz w:val="28"/>
          <w:szCs w:val="28"/>
          <w:lang w:bidi="ar"/>
        </w:rPr>
      </w:pPr>
      <w:bookmarkStart w:id="63" w:name="_Toc198856090"/>
      <w:r>
        <w:rPr>
          <w:rFonts w:hint="eastAsia" w:ascii="仿宋_GB2312" w:hAnsi="Times New Roman" w:eastAsia="仿宋_GB2312" w:cs="仿宋_GB2312"/>
          <w:b/>
          <w:bCs/>
          <w:color w:val="000000"/>
          <w:kern w:val="2"/>
          <w:sz w:val="28"/>
          <w:szCs w:val="28"/>
          <w:lang w:bidi="ar"/>
        </w:rPr>
        <w:t>（十九）履行合同</w:t>
      </w:r>
      <w:bookmarkEnd w:id="63"/>
    </w:p>
    <w:p w14:paraId="2F8F1BA8">
      <w:pPr>
        <w:pStyle w:val="37"/>
        <w:widowControl w:val="0"/>
        <w:spacing w:before="0" w:after="0" w:line="576" w:lineRule="exact"/>
        <w:ind w:firstLine="560"/>
        <w:outlineLvl w:val="9"/>
        <w:rPr>
          <w:rFonts w:hint="eastAsia" w:ascii="仿宋_GB2312" w:hAnsi="仿宋_GB2312" w:eastAsia="仿宋_GB2312" w:cs="仿宋_GB2312"/>
          <w:szCs w:val="28"/>
        </w:rPr>
      </w:pPr>
      <w:r>
        <w:rPr>
          <w:rFonts w:hint="eastAsia" w:ascii="仿宋_GB2312" w:hAnsi="仿宋_GB2312" w:eastAsia="仿宋_GB2312" w:cs="仿宋_GB2312"/>
          <w:szCs w:val="28"/>
        </w:rPr>
        <w:t>1.成交人与采购人签订合同后，合同双方应严格执行合同条款，履行合同规定的义务，保证合同的顺利完成。</w:t>
      </w:r>
    </w:p>
    <w:p w14:paraId="4BD4C042">
      <w:pPr>
        <w:pStyle w:val="37"/>
        <w:widowControl w:val="0"/>
        <w:spacing w:before="0" w:after="0" w:line="576" w:lineRule="exact"/>
        <w:ind w:firstLine="560"/>
        <w:outlineLvl w:val="9"/>
        <w:rPr>
          <w:rFonts w:hint="eastAsia" w:ascii="仿宋_GB2312" w:hAnsi="仿宋_GB2312" w:eastAsia="仿宋_GB2312" w:cs="仿宋_GB2312"/>
          <w:szCs w:val="28"/>
        </w:rPr>
      </w:pPr>
      <w:r>
        <w:rPr>
          <w:rFonts w:hint="eastAsia" w:ascii="仿宋_GB2312" w:hAnsi="仿宋_GB2312" w:eastAsia="仿宋_GB2312" w:cs="仿宋_GB2312"/>
          <w:szCs w:val="28"/>
        </w:rPr>
        <w:t>2.在合同履行过程中，如发生合同纠纷，合同双方应按照《民法典》的有关规定进行处理。</w:t>
      </w:r>
    </w:p>
    <w:p w14:paraId="079490EF">
      <w:pPr>
        <w:widowControl w:val="0"/>
        <w:spacing w:before="0" w:after="0"/>
        <w:ind w:firstLine="562"/>
        <w:outlineLvl w:val="2"/>
        <w:rPr>
          <w:rFonts w:hint="eastAsia" w:ascii="仿宋_GB2312" w:hAnsi="Times New Roman" w:eastAsia="仿宋_GB2312" w:cs="仿宋_GB2312"/>
          <w:b/>
          <w:bCs/>
          <w:color w:val="000000"/>
          <w:kern w:val="2"/>
          <w:sz w:val="28"/>
          <w:szCs w:val="28"/>
          <w:lang w:bidi="ar"/>
        </w:rPr>
      </w:pPr>
      <w:bookmarkStart w:id="64" w:name="_Toc198856091"/>
      <w:r>
        <w:rPr>
          <w:rFonts w:hint="eastAsia" w:ascii="仿宋_GB2312" w:hAnsi="Times New Roman" w:eastAsia="仿宋_GB2312" w:cs="仿宋_GB2312"/>
          <w:b/>
          <w:bCs/>
          <w:color w:val="000000"/>
          <w:kern w:val="2"/>
          <w:sz w:val="28"/>
          <w:szCs w:val="28"/>
          <w:lang w:bidi="ar"/>
        </w:rPr>
        <w:t>（二十）验收</w:t>
      </w:r>
      <w:bookmarkEnd w:id="64"/>
    </w:p>
    <w:p w14:paraId="44ACD9DA">
      <w:pPr>
        <w:pStyle w:val="37"/>
        <w:widowControl w:val="0"/>
        <w:tabs>
          <w:tab w:val="left" w:pos="6237"/>
        </w:tabs>
        <w:spacing w:before="0" w:after="0" w:line="576" w:lineRule="exact"/>
        <w:ind w:firstLine="560"/>
        <w:jc w:val="both"/>
        <w:outlineLvl w:val="9"/>
        <w:rPr>
          <w:rFonts w:hint="eastAsia" w:ascii="仿宋_GB2312" w:hAnsi="仿宋_GB2312" w:eastAsia="仿宋_GB2312" w:cs="仿宋_GB2312"/>
          <w:szCs w:val="28"/>
        </w:rPr>
      </w:pPr>
      <w:r>
        <w:rPr>
          <w:rFonts w:hint="eastAsia" w:ascii="仿宋_GB2312" w:hAnsi="仿宋_GB2312" w:eastAsia="仿宋_GB2312" w:cs="仿宋_GB2312"/>
          <w:szCs w:val="28"/>
        </w:rPr>
        <w:t>成交人与采购人应严格按照谈判文件中验收的标准进行验收。</w:t>
      </w:r>
    </w:p>
    <w:p w14:paraId="13AE29E4">
      <w:pPr>
        <w:widowControl w:val="0"/>
        <w:spacing w:before="0" w:after="0"/>
        <w:ind w:firstLine="562"/>
        <w:outlineLvl w:val="2"/>
        <w:rPr>
          <w:rFonts w:hint="eastAsia" w:ascii="仿宋_GB2312" w:hAnsi="Times New Roman" w:eastAsia="仿宋_GB2312" w:cs="仿宋_GB2312"/>
          <w:b/>
          <w:bCs/>
          <w:color w:val="000000"/>
          <w:kern w:val="2"/>
          <w:sz w:val="28"/>
          <w:szCs w:val="28"/>
          <w:lang w:bidi="ar"/>
        </w:rPr>
      </w:pPr>
      <w:bookmarkStart w:id="65" w:name="_Toc198856092"/>
      <w:r>
        <w:rPr>
          <w:rFonts w:hint="eastAsia" w:ascii="仿宋_GB2312" w:hAnsi="Times New Roman" w:eastAsia="仿宋_GB2312" w:cs="仿宋_GB2312"/>
          <w:b/>
          <w:bCs/>
          <w:color w:val="000000"/>
          <w:kern w:val="2"/>
          <w:sz w:val="28"/>
          <w:szCs w:val="28"/>
          <w:lang w:bidi="ar"/>
        </w:rPr>
        <w:t>（二十一）质疑、投诉处理</w:t>
      </w:r>
      <w:bookmarkEnd w:id="65"/>
    </w:p>
    <w:bookmarkEnd w:id="53"/>
    <w:p w14:paraId="7581B595">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认为采购文件、采购过程和成交结果使自己的权益受到损害的，可以在知道或者应知其权益受到损害之日起7个工作日内，以书面形式向采购人或采购监察及举报机构提出质疑。质疑必须以书面形式递交。质疑函应当包括但不限于下列内容：响应人的名称、地址、邮编、联系人及联系电话；质疑项目的名称、编号；质疑事项；事实依据和证明材料；法律依据；提出质疑的日期。质疑函必须由提出质疑的响应人的法定代表人亲笔签署，并加盖企业法人公章。</w:t>
      </w:r>
    </w:p>
    <w:p w14:paraId="0F5AB1BB">
      <w:pPr>
        <w:widowControl w:val="0"/>
        <w:spacing w:before="0" w:after="0"/>
        <w:ind w:firstLine="562"/>
        <w:outlineLvl w:val="2"/>
        <w:rPr>
          <w:rFonts w:hint="eastAsia" w:ascii="仿宋_GB2312" w:hAnsi="Times New Roman" w:eastAsia="仿宋_GB2312" w:cs="仿宋_GB2312"/>
          <w:b/>
          <w:bCs/>
          <w:color w:val="000000"/>
          <w:kern w:val="2"/>
          <w:sz w:val="28"/>
          <w:szCs w:val="28"/>
          <w:lang w:bidi="ar"/>
        </w:rPr>
      </w:pPr>
      <w:bookmarkStart w:id="66" w:name="_第三章__资格证明文件"/>
      <w:bookmarkEnd w:id="66"/>
      <w:bookmarkStart w:id="67" w:name="_Toc198856093"/>
      <w:r>
        <w:rPr>
          <w:rFonts w:hint="eastAsia" w:ascii="仿宋_GB2312" w:hAnsi="Times New Roman" w:eastAsia="仿宋_GB2312" w:cs="仿宋_GB2312"/>
          <w:b/>
          <w:bCs/>
          <w:color w:val="000000"/>
          <w:kern w:val="2"/>
          <w:sz w:val="28"/>
          <w:szCs w:val="28"/>
          <w:lang w:bidi="ar"/>
        </w:rPr>
        <w:t>（二十二）响应人不得具有的情形</w:t>
      </w:r>
      <w:bookmarkEnd w:id="67"/>
    </w:p>
    <w:p w14:paraId="3C959A0D">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响应人参加本项目谈判不得有下列情形：</w:t>
      </w:r>
    </w:p>
    <w:p w14:paraId="3944C90B">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1.提供虚假材料谋取成交；</w:t>
      </w:r>
    </w:p>
    <w:p w14:paraId="0376D35E">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2.采取不正当手段诋毁、排挤其他响应人；</w:t>
      </w:r>
    </w:p>
    <w:p w14:paraId="229C5591">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3.与采购人、谈判小组成员或其他响应人恶意串通；</w:t>
      </w:r>
    </w:p>
    <w:p w14:paraId="45D92C2C">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4.向采购人、谈判小组成员行贿或者提供其他不正当利益；</w:t>
      </w:r>
    </w:p>
    <w:p w14:paraId="3309F3E3">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5.在谈判过程中与采购人、谈判小组成员进行谈判文件内容以外的协商；</w:t>
      </w:r>
    </w:p>
    <w:p w14:paraId="3990B3BF">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6.成交后无正当理由拒不与采购人签订政府采购合同；</w:t>
      </w:r>
    </w:p>
    <w:p w14:paraId="6A07BF6D">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7.未按照谈判文件确定的事项签订采购合同；</w:t>
      </w:r>
    </w:p>
    <w:p w14:paraId="56737868">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8.将采购合同转包或者违规分包；</w:t>
      </w:r>
    </w:p>
    <w:p w14:paraId="21056C5B">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9.提供假冒伪劣产品；</w:t>
      </w:r>
    </w:p>
    <w:p w14:paraId="1D70B3B7">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10.擅自变更、中止或者终止采购合同；</w:t>
      </w:r>
    </w:p>
    <w:p w14:paraId="3164A8DC">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11.拒绝有关部门的监督检查或者向监督检查部门提供虚假情况；</w:t>
      </w:r>
    </w:p>
    <w:p w14:paraId="5210F746">
      <w:pPr>
        <w:pStyle w:val="37"/>
        <w:widowControl w:val="0"/>
        <w:spacing w:before="0" w:after="0" w:line="576"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12.法律法规规定的其他情形。</w:t>
      </w:r>
    </w:p>
    <w:p w14:paraId="0CFE5FFB">
      <w:pPr>
        <w:pStyle w:val="37"/>
        <w:widowControl w:val="0"/>
        <w:spacing w:before="0" w:after="0" w:line="576" w:lineRule="exact"/>
        <w:ind w:firstLine="56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响应人有上述情形的，按照规定追究法律责任。</w:t>
      </w:r>
    </w:p>
    <w:p w14:paraId="36375505">
      <w:pPr>
        <w:spacing w:before="4" w:after="4" w:line="500" w:lineRule="exact"/>
        <w:ind w:firstLine="562" w:firstLineChars="200"/>
        <w:rPr>
          <w:rFonts w:hint="eastAsia" w:ascii="仿宋_GB2312" w:hAnsi="仿宋_GB2312" w:eastAsia="仿宋_GB2312" w:cs="仿宋_GB2312"/>
          <w:b/>
          <w:sz w:val="28"/>
          <w:szCs w:val="28"/>
        </w:rPr>
      </w:pPr>
    </w:p>
    <w:p w14:paraId="70DA5383">
      <w:pPr>
        <w:pStyle w:val="21"/>
        <w:shd w:val="clear" w:color="auto" w:fill="FFFFFF"/>
        <w:spacing w:before="48" w:beforeLines="20" w:beforeAutospacing="0" w:after="48" w:afterLines="20" w:afterAutospacing="0" w:line="420" w:lineRule="exact"/>
        <w:textAlignment w:val="baseline"/>
        <w:rPr>
          <w:rFonts w:hint="eastAsia" w:ascii="仿宋_GB2312" w:hAnsi="仿宋_GB2312" w:eastAsia="仿宋_GB2312" w:cs="仿宋_GB2312"/>
          <w:sz w:val="28"/>
          <w:szCs w:val="28"/>
        </w:rPr>
        <w:sectPr>
          <w:pgSz w:w="11905" w:h="16838"/>
          <w:pgMar w:top="1984" w:right="1871" w:bottom="1984" w:left="1871" w:header="851" w:footer="850" w:gutter="0"/>
          <w:pgNumType w:fmt="chineseCounting"/>
          <w:cols w:space="720" w:num="1"/>
          <w:docGrid w:linePitch="312" w:charSpace="0"/>
        </w:sectPr>
      </w:pPr>
    </w:p>
    <w:p w14:paraId="7A70B4E7">
      <w:pPr>
        <w:keepNext w:val="0"/>
        <w:keepLines w:val="0"/>
        <w:widowControl w:val="0"/>
        <w:numPr>
          <w:ilvl w:val="0"/>
          <w:numId w:val="0"/>
        </w:numPr>
        <w:spacing w:before="0" w:after="0" w:line="600" w:lineRule="exact"/>
        <w:jc w:val="center"/>
        <w:outlineLvl w:val="0"/>
        <w:rPr>
          <w:rFonts w:hint="eastAsia" w:ascii="方正小标宋简体" w:hAnsi="方正小标宋简体" w:eastAsia="方正小标宋简体" w:cs="方正小标宋简体"/>
          <w:color w:val="000000"/>
          <w:kern w:val="2"/>
          <w:sz w:val="44"/>
          <w:szCs w:val="44"/>
          <w:highlight w:val="none"/>
          <w:lang w:bidi="ar"/>
        </w:rPr>
      </w:pPr>
      <w:bookmarkStart w:id="68" w:name="_Toc198856094"/>
      <w:r>
        <w:rPr>
          <w:rFonts w:hint="eastAsia" w:ascii="方正小标宋简体" w:hAnsi="方正小标宋简体" w:eastAsia="方正小标宋简体" w:cs="方正小标宋简体"/>
          <w:color w:val="000000"/>
          <w:kern w:val="2"/>
          <w:sz w:val="44"/>
          <w:szCs w:val="44"/>
          <w:lang w:val="en-US" w:eastAsia="zh-CN" w:bidi="ar"/>
        </w:rPr>
        <w:t xml:space="preserve">第三章 </w:t>
      </w:r>
      <w:r>
        <w:rPr>
          <w:rFonts w:hint="eastAsia" w:ascii="方正小标宋简体" w:hAnsi="方正小标宋简体" w:eastAsia="方正小标宋简体" w:cs="方正小标宋简体"/>
          <w:color w:val="000000"/>
          <w:kern w:val="2"/>
          <w:sz w:val="44"/>
          <w:szCs w:val="44"/>
          <w:highlight w:val="none"/>
          <w:lang w:bidi="ar"/>
        </w:rPr>
        <w:t>采购需求</w:t>
      </w:r>
      <w:bookmarkEnd w:id="68"/>
    </w:p>
    <w:p w14:paraId="480E5F2D">
      <w:pPr>
        <w:widowControl w:val="0"/>
        <w:numPr>
          <w:ilvl w:val="0"/>
          <w:numId w:val="0"/>
        </w:numPr>
        <w:spacing w:before="0" w:beforeLines="0" w:after="0" w:afterLines="0" w:line="576" w:lineRule="exact"/>
        <w:ind w:firstLine="640" w:firstLineChars="200"/>
        <w:jc w:val="both"/>
        <w:outlineLvl w:val="9"/>
        <w:rPr>
          <w:rFonts w:hint="eastAsia" w:ascii="黑体" w:hAnsi="宋体" w:eastAsia="黑体" w:cs="黑体"/>
          <w:color w:val="000000"/>
          <w:kern w:val="2"/>
          <w:sz w:val="32"/>
          <w:szCs w:val="32"/>
          <w:lang w:bidi="ar"/>
        </w:rPr>
      </w:pPr>
      <w:bookmarkStart w:id="69" w:name="_Toc198856095"/>
    </w:p>
    <w:p w14:paraId="5B7B0609">
      <w:pPr>
        <w:widowControl w:val="0"/>
        <w:numPr>
          <w:ilvl w:val="0"/>
          <w:numId w:val="0"/>
        </w:numPr>
        <w:spacing w:before="0" w:beforeLines="0" w:after="0" w:afterLines="0" w:line="576" w:lineRule="exact"/>
        <w:ind w:firstLine="640" w:firstLineChars="200"/>
        <w:jc w:val="both"/>
        <w:outlineLvl w:val="1"/>
        <w:rPr>
          <w:rFonts w:hint="eastAsia" w:ascii="黑体" w:hAnsi="宋体" w:eastAsia="黑体" w:cs="黑体"/>
          <w:color w:val="000000"/>
          <w:kern w:val="2"/>
          <w:sz w:val="32"/>
          <w:szCs w:val="32"/>
          <w:lang w:bidi="ar"/>
        </w:rPr>
      </w:pPr>
      <w:r>
        <w:rPr>
          <w:rFonts w:hint="eastAsia" w:ascii="黑体" w:hAnsi="宋体" w:eastAsia="黑体" w:cs="黑体"/>
          <w:color w:val="000000"/>
          <w:kern w:val="2"/>
          <w:sz w:val="32"/>
          <w:szCs w:val="32"/>
          <w:lang w:bidi="ar"/>
        </w:rPr>
        <w:t>一、项目名称</w:t>
      </w:r>
      <w:bookmarkEnd w:id="69"/>
    </w:p>
    <w:p w14:paraId="2DC5967F">
      <w:pPr>
        <w:widowControl w:val="0"/>
        <w:spacing w:before="0" w:after="0" w:line="576" w:lineRule="exact"/>
        <w:ind w:firstLine="560" w:firstLineChars="200"/>
        <w:jc w:val="both"/>
        <w:rPr>
          <w:rFonts w:hint="eastAsia" w:ascii="仿宋_GB2312" w:hAnsi="仿宋_GB2312" w:eastAsia="仿宋_GB2312" w:cs="仿宋_GB2312"/>
          <w:sz w:val="28"/>
          <w:szCs w:val="28"/>
          <w:u w:val="single"/>
        </w:rPr>
      </w:pPr>
      <w:r>
        <w:rPr>
          <w:rFonts w:hint="eastAsia" w:ascii="仿宋_GB2312" w:eastAsia="仿宋_GB2312" w:cs="仿宋_GB2312"/>
          <w:color w:val="000000"/>
          <w:kern w:val="2"/>
          <w:sz w:val="28"/>
          <w:szCs w:val="28"/>
          <w:u w:val="none"/>
          <w:lang w:val="en-US" w:eastAsia="zh-CN" w:bidi="ar"/>
        </w:rPr>
        <w:t>海钢集团经营管理数据分析系统建设项目</w:t>
      </w:r>
    </w:p>
    <w:p w14:paraId="4FB36B2A">
      <w:pPr>
        <w:widowControl w:val="0"/>
        <w:numPr>
          <w:ilvl w:val="0"/>
          <w:numId w:val="0"/>
        </w:numPr>
        <w:spacing w:before="0" w:beforeLines="0" w:after="0" w:afterLines="0" w:line="576" w:lineRule="exact"/>
        <w:ind w:firstLine="640" w:firstLineChars="200"/>
        <w:jc w:val="both"/>
        <w:outlineLvl w:val="1"/>
        <w:rPr>
          <w:rFonts w:hint="eastAsia" w:ascii="黑体" w:hAnsi="宋体" w:eastAsia="黑体" w:cs="黑体"/>
          <w:color w:val="000000"/>
          <w:kern w:val="2"/>
          <w:sz w:val="32"/>
          <w:szCs w:val="32"/>
          <w:lang w:bidi="ar"/>
        </w:rPr>
      </w:pPr>
      <w:bookmarkStart w:id="70" w:name="_Toc198856096"/>
      <w:r>
        <w:rPr>
          <w:rFonts w:hint="eastAsia" w:ascii="黑体" w:hAnsi="宋体" w:eastAsia="黑体" w:cs="黑体"/>
          <w:color w:val="000000"/>
          <w:kern w:val="2"/>
          <w:sz w:val="32"/>
          <w:szCs w:val="32"/>
          <w:lang w:bidi="ar"/>
        </w:rPr>
        <w:t>二、采购最高限价</w:t>
      </w:r>
      <w:bookmarkEnd w:id="70"/>
    </w:p>
    <w:p w14:paraId="3597381A">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w:t>
      </w:r>
      <w:r>
        <w:rPr>
          <w:rFonts w:hint="eastAsia" w:ascii="仿宋_GB2312" w:hAnsi="Times New Roman" w:eastAsia="仿宋_GB2312" w:cs="仿宋_GB2312"/>
          <w:color w:val="000000"/>
          <w:kern w:val="2"/>
          <w:sz w:val="28"/>
          <w:szCs w:val="28"/>
          <w:u w:val="none"/>
          <w:lang w:val="en-US" w:eastAsia="zh-CN" w:bidi="ar"/>
        </w:rPr>
        <w:t>50</w:t>
      </w:r>
      <w:r>
        <w:rPr>
          <w:rFonts w:hint="eastAsia" w:ascii="仿宋_GB2312" w:hAnsi="Times New Roman" w:eastAsia="仿宋_GB2312" w:cs="仿宋_GB2312"/>
          <w:color w:val="000000"/>
          <w:kern w:val="2"/>
          <w:sz w:val="28"/>
          <w:szCs w:val="28"/>
          <w:u w:val="none"/>
          <w:lang w:bidi="ar"/>
        </w:rPr>
        <w:t>.00</w:t>
      </w:r>
      <w:r>
        <w:rPr>
          <w:rFonts w:hint="eastAsia" w:ascii="仿宋_GB2312" w:hAnsi="Times New Roman" w:eastAsia="仿宋_GB2312" w:cs="仿宋_GB2312"/>
          <w:color w:val="000000"/>
          <w:kern w:val="2"/>
          <w:sz w:val="28"/>
          <w:szCs w:val="28"/>
          <w:lang w:bidi="ar"/>
        </w:rPr>
        <w:t>万元，超过</w:t>
      </w:r>
      <w:r>
        <w:rPr>
          <w:rFonts w:hint="eastAsia" w:ascii="仿宋_GB2312" w:eastAsia="仿宋_GB2312" w:cs="仿宋_GB2312"/>
          <w:color w:val="000000"/>
          <w:kern w:val="2"/>
          <w:sz w:val="28"/>
          <w:szCs w:val="28"/>
          <w:lang w:val="en-US" w:eastAsia="zh-CN" w:bidi="ar"/>
        </w:rPr>
        <w:t>最高限价</w:t>
      </w:r>
      <w:r>
        <w:rPr>
          <w:rFonts w:hint="eastAsia" w:ascii="仿宋_GB2312" w:hAnsi="Times New Roman" w:eastAsia="仿宋_GB2312" w:cs="仿宋_GB2312"/>
          <w:color w:val="000000"/>
          <w:kern w:val="2"/>
          <w:sz w:val="28"/>
          <w:szCs w:val="28"/>
          <w:lang w:bidi="ar"/>
        </w:rPr>
        <w:t>的报价，其响应文件按无效处理。</w:t>
      </w:r>
    </w:p>
    <w:p w14:paraId="6D074DF3">
      <w:pPr>
        <w:widowControl w:val="0"/>
        <w:numPr>
          <w:ilvl w:val="0"/>
          <w:numId w:val="0"/>
        </w:numPr>
        <w:spacing w:before="0" w:beforeLines="0" w:after="0" w:afterLines="0" w:line="576" w:lineRule="exact"/>
        <w:ind w:firstLine="640" w:firstLineChars="200"/>
        <w:jc w:val="both"/>
        <w:outlineLvl w:val="1"/>
        <w:rPr>
          <w:rFonts w:hint="eastAsia" w:ascii="黑体" w:hAnsi="宋体" w:eastAsia="黑体" w:cs="黑体"/>
          <w:color w:val="000000"/>
          <w:kern w:val="2"/>
          <w:sz w:val="32"/>
          <w:szCs w:val="32"/>
          <w:highlight w:val="none"/>
          <w:lang w:bidi="ar"/>
        </w:rPr>
      </w:pPr>
      <w:bookmarkStart w:id="71" w:name="_Toc198856097"/>
      <w:r>
        <w:rPr>
          <w:rFonts w:hint="eastAsia" w:ascii="黑体" w:hAnsi="宋体" w:eastAsia="黑体" w:cs="黑体"/>
          <w:color w:val="000000"/>
          <w:kern w:val="2"/>
          <w:sz w:val="32"/>
          <w:szCs w:val="32"/>
          <w:lang w:val="en-US" w:eastAsia="zh-CN" w:bidi="ar"/>
        </w:rPr>
        <w:t>三、</w:t>
      </w:r>
      <w:r>
        <w:rPr>
          <w:rFonts w:hint="eastAsia" w:ascii="黑体" w:hAnsi="宋体" w:eastAsia="黑体" w:cs="黑体"/>
          <w:color w:val="000000"/>
          <w:kern w:val="2"/>
          <w:sz w:val="32"/>
          <w:szCs w:val="32"/>
          <w:highlight w:val="none"/>
          <w:lang w:bidi="ar"/>
        </w:rPr>
        <w:t>采购内容及规格参数要求</w:t>
      </w:r>
      <w:bookmarkEnd w:id="71"/>
    </w:p>
    <w:p w14:paraId="18B377D6">
      <w:pPr>
        <w:widowControl w:val="0"/>
        <w:spacing w:before="0" w:after="0" w:line="576" w:lineRule="exact"/>
        <w:ind w:firstLine="562" w:firstLineChars="200"/>
        <w:jc w:val="both"/>
        <w:rPr>
          <w:rFonts w:hint="eastAsia" w:ascii="仿宋_GB2312" w:hAnsi="Times New Roman" w:eastAsia="仿宋_GB2312" w:cs="仿宋_GB2312"/>
          <w:b/>
          <w:bCs/>
          <w:color w:val="000000"/>
          <w:kern w:val="2"/>
          <w:sz w:val="28"/>
          <w:szCs w:val="28"/>
          <w:highlight w:val="none"/>
          <w:lang w:val="en-US" w:bidi="ar"/>
        </w:rPr>
      </w:pPr>
      <w:r>
        <w:rPr>
          <w:rFonts w:hint="eastAsia" w:ascii="仿宋_GB2312" w:hAnsi="Times New Roman" w:eastAsia="仿宋_GB2312" w:cs="仿宋_GB2312"/>
          <w:b/>
          <w:bCs/>
          <w:color w:val="000000"/>
          <w:kern w:val="2"/>
          <w:sz w:val="28"/>
          <w:szCs w:val="28"/>
          <w:highlight w:val="none"/>
          <w:lang w:val="en-US" w:eastAsia="zh-CN" w:bidi="ar"/>
        </w:rPr>
        <w:t>（一）商业智能（BI）平台架构及功能规格参数</w:t>
      </w:r>
    </w:p>
    <w:tbl>
      <w:tblPr>
        <w:tblStyle w:val="23"/>
        <w:tblW w:w="4998" w:type="pct"/>
        <w:tblInd w:w="0" w:type="dxa"/>
        <w:tblLayout w:type="autofit"/>
        <w:tblCellMar>
          <w:top w:w="0" w:type="dxa"/>
          <w:left w:w="108" w:type="dxa"/>
          <w:bottom w:w="0" w:type="dxa"/>
          <w:right w:w="108" w:type="dxa"/>
        </w:tblCellMar>
      </w:tblPr>
      <w:tblGrid>
        <w:gridCol w:w="663"/>
        <w:gridCol w:w="1059"/>
        <w:gridCol w:w="5109"/>
        <w:gridCol w:w="809"/>
        <w:gridCol w:w="736"/>
      </w:tblGrid>
      <w:tr w14:paraId="744DB12C">
        <w:tblPrEx>
          <w:tblCellMar>
            <w:top w:w="0" w:type="dxa"/>
            <w:left w:w="108" w:type="dxa"/>
            <w:bottom w:w="0" w:type="dxa"/>
            <w:right w:w="108" w:type="dxa"/>
          </w:tblCellMar>
        </w:tblPrEx>
        <w:trPr>
          <w:trHeight w:val="780" w:hRule="atLeast"/>
        </w:trPr>
        <w:tc>
          <w:tcPr>
            <w:tcW w:w="396" w:type="pct"/>
            <w:tcBorders>
              <w:top w:val="single" w:color="auto" w:sz="4" w:space="0"/>
              <w:left w:val="single" w:color="auto" w:sz="8" w:space="0"/>
              <w:bottom w:val="single" w:color="auto" w:sz="4" w:space="0"/>
              <w:right w:val="single" w:color="auto" w:sz="4" w:space="0"/>
            </w:tcBorders>
            <w:shd w:val="clear" w:color="000000" w:fill="F2F2F2"/>
            <w:noWrap w:val="0"/>
            <w:vAlign w:val="center"/>
          </w:tcPr>
          <w:p w14:paraId="55AB4144">
            <w:pPr>
              <w:widowControl w:val="0"/>
              <w:topLinePunct/>
              <w:spacing w:line="440" w:lineRule="exact"/>
              <w:jc w:val="center"/>
              <w:rPr>
                <w:rFonts w:hint="eastAsia" w:ascii="仿宋_GB2312" w:hAnsi="仿宋_GB2312" w:eastAsia="仿宋_GB2312" w:cs="仿宋_GB2312"/>
                <w:b/>
                <w:bCs/>
                <w:color w:val="auto"/>
                <w:sz w:val="21"/>
                <w:szCs w:val="21"/>
              </w:rPr>
            </w:pPr>
            <w:bookmarkStart w:id="72" w:name="_Toc198856099"/>
            <w:r>
              <w:rPr>
                <w:rFonts w:hint="eastAsia" w:ascii="仿宋_GB2312" w:hAnsi="仿宋_GB2312" w:eastAsia="仿宋_GB2312" w:cs="仿宋_GB2312"/>
                <w:b/>
                <w:bCs/>
                <w:color w:val="auto"/>
                <w:sz w:val="21"/>
                <w:szCs w:val="21"/>
              </w:rPr>
              <w:t>序号</w:t>
            </w:r>
          </w:p>
        </w:tc>
        <w:tc>
          <w:tcPr>
            <w:tcW w:w="632" w:type="pct"/>
            <w:tcBorders>
              <w:top w:val="single" w:color="auto" w:sz="4" w:space="0"/>
              <w:left w:val="nil"/>
              <w:bottom w:val="single" w:color="auto" w:sz="4" w:space="0"/>
              <w:right w:val="single" w:color="auto" w:sz="4" w:space="0"/>
            </w:tcBorders>
            <w:shd w:val="clear" w:color="000000" w:fill="F2F2F2"/>
            <w:noWrap w:val="0"/>
            <w:vAlign w:val="center"/>
          </w:tcPr>
          <w:p w14:paraId="79A318B0">
            <w:pPr>
              <w:widowControl w:val="0"/>
              <w:topLinePunct/>
              <w:spacing w:line="44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名 称</w:t>
            </w:r>
          </w:p>
        </w:tc>
        <w:tc>
          <w:tcPr>
            <w:tcW w:w="3050" w:type="pct"/>
            <w:tcBorders>
              <w:top w:val="single" w:color="auto" w:sz="4" w:space="0"/>
              <w:left w:val="nil"/>
              <w:bottom w:val="single" w:color="auto" w:sz="4" w:space="0"/>
              <w:right w:val="single" w:color="auto" w:sz="4" w:space="0"/>
            </w:tcBorders>
            <w:shd w:val="clear" w:color="000000" w:fill="F2F2F2"/>
            <w:noWrap w:val="0"/>
            <w:vAlign w:val="center"/>
          </w:tcPr>
          <w:p w14:paraId="65793C24">
            <w:pPr>
              <w:widowControl w:val="0"/>
              <w:topLinePunct/>
              <w:spacing w:line="440" w:lineRule="exact"/>
              <w:ind w:firstLine="422" w:firstLineChars="200"/>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技术参数</w:t>
            </w:r>
          </w:p>
        </w:tc>
        <w:tc>
          <w:tcPr>
            <w:tcW w:w="483" w:type="pct"/>
            <w:tcBorders>
              <w:top w:val="single" w:color="auto" w:sz="4" w:space="0"/>
              <w:left w:val="nil"/>
              <w:bottom w:val="single" w:color="auto" w:sz="4" w:space="0"/>
              <w:right w:val="single" w:color="auto" w:sz="4" w:space="0"/>
            </w:tcBorders>
            <w:shd w:val="clear" w:color="000000" w:fill="F2F2F2"/>
            <w:noWrap w:val="0"/>
            <w:vAlign w:val="center"/>
          </w:tcPr>
          <w:p w14:paraId="3EEE40E0">
            <w:pPr>
              <w:widowControl w:val="0"/>
              <w:topLinePunct/>
              <w:spacing w:line="44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单位</w:t>
            </w:r>
          </w:p>
        </w:tc>
        <w:tc>
          <w:tcPr>
            <w:tcW w:w="436" w:type="pct"/>
            <w:tcBorders>
              <w:top w:val="single" w:color="auto" w:sz="4" w:space="0"/>
              <w:left w:val="nil"/>
              <w:bottom w:val="single" w:color="auto" w:sz="4" w:space="0"/>
              <w:right w:val="single" w:color="auto" w:sz="4" w:space="0"/>
            </w:tcBorders>
            <w:shd w:val="clear" w:color="000000" w:fill="F2F2F2"/>
            <w:noWrap w:val="0"/>
            <w:vAlign w:val="center"/>
          </w:tcPr>
          <w:p w14:paraId="3ED8514A">
            <w:pPr>
              <w:widowControl w:val="0"/>
              <w:topLinePunct/>
              <w:spacing w:line="44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数量</w:t>
            </w:r>
          </w:p>
        </w:tc>
      </w:tr>
      <w:tr w14:paraId="548D3A47">
        <w:tblPrEx>
          <w:tblCellMar>
            <w:top w:w="0" w:type="dxa"/>
            <w:left w:w="108" w:type="dxa"/>
            <w:bottom w:w="0" w:type="dxa"/>
            <w:right w:w="108" w:type="dxa"/>
          </w:tblCellMar>
        </w:tblPrEx>
        <w:trPr>
          <w:trHeight w:val="280" w:hRule="atLeast"/>
        </w:trPr>
        <w:tc>
          <w:tcPr>
            <w:tcW w:w="5000" w:type="pct"/>
            <w:gridSpan w:val="5"/>
            <w:tcBorders>
              <w:top w:val="nil"/>
              <w:left w:val="single" w:color="auto" w:sz="8" w:space="0"/>
              <w:bottom w:val="single" w:color="auto" w:sz="4" w:space="0"/>
              <w:right w:val="single" w:color="auto" w:sz="4" w:space="0"/>
            </w:tcBorders>
            <w:noWrap/>
            <w:vAlign w:val="center"/>
          </w:tcPr>
          <w:p w14:paraId="46514841">
            <w:pPr>
              <w:widowControl w:val="0"/>
              <w:topLinePunct/>
              <w:spacing w:line="440" w:lineRule="exact"/>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一、软件平台</w:t>
            </w:r>
          </w:p>
        </w:tc>
      </w:tr>
      <w:tr w14:paraId="6736E9E9">
        <w:tblPrEx>
          <w:tblCellMar>
            <w:top w:w="0" w:type="dxa"/>
            <w:left w:w="108" w:type="dxa"/>
            <w:bottom w:w="0" w:type="dxa"/>
            <w:right w:w="108" w:type="dxa"/>
          </w:tblCellMar>
        </w:tblPrEx>
        <w:trPr>
          <w:trHeight w:val="1260" w:hRule="atLeast"/>
        </w:trPr>
        <w:tc>
          <w:tcPr>
            <w:tcW w:w="396" w:type="pct"/>
            <w:tcBorders>
              <w:top w:val="nil"/>
              <w:left w:val="single" w:color="auto" w:sz="8" w:space="0"/>
              <w:bottom w:val="single" w:color="auto" w:sz="4" w:space="0"/>
              <w:right w:val="single" w:color="auto" w:sz="4" w:space="0"/>
            </w:tcBorders>
            <w:shd w:val="clear" w:color="auto" w:fill="auto"/>
            <w:noWrap/>
            <w:vAlign w:val="center"/>
          </w:tcPr>
          <w:p w14:paraId="5DD57EFB">
            <w:pPr>
              <w:widowControl w:val="0"/>
              <w:topLinePunct/>
              <w:spacing w:line="240" w:lineRule="auto"/>
              <w:ind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32" w:type="pct"/>
            <w:tcBorders>
              <w:top w:val="nil"/>
              <w:left w:val="nil"/>
              <w:bottom w:val="single" w:color="auto" w:sz="4" w:space="0"/>
              <w:right w:val="single" w:color="auto" w:sz="4" w:space="0"/>
            </w:tcBorders>
            <w:shd w:val="clear" w:color="000000" w:fill="FFFFFF"/>
            <w:noWrap w:val="0"/>
            <w:vAlign w:val="center"/>
          </w:tcPr>
          <w:p w14:paraId="1EBFC707">
            <w:pPr>
              <w:widowControl w:val="0"/>
              <w:topLinePunct/>
              <w:spacing w:line="44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商业智能（BI）平台</w:t>
            </w:r>
          </w:p>
        </w:tc>
        <w:tc>
          <w:tcPr>
            <w:tcW w:w="3050" w:type="pct"/>
            <w:tcBorders>
              <w:top w:val="nil"/>
              <w:left w:val="nil"/>
              <w:bottom w:val="single" w:color="auto" w:sz="4" w:space="0"/>
              <w:right w:val="single" w:color="auto" w:sz="4" w:space="0"/>
            </w:tcBorders>
            <w:noWrap w:val="0"/>
            <w:vAlign w:val="center"/>
          </w:tcPr>
          <w:p w14:paraId="264FEA3B">
            <w:pPr>
              <w:widowControl w:val="0"/>
              <w:topLinePunct/>
              <w:spacing w:before="0" w:after="0" w:line="240" w:lineRule="auto"/>
              <w:ind w:firstLine="420" w:firstLineChars="200"/>
              <w:jc w:val="both"/>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rPr>
              <w:t>1、</w:t>
            </w:r>
            <w:r>
              <w:rPr>
                <w:rFonts w:hint="eastAsia" w:ascii="仿宋_GB2312" w:hAnsi="仿宋_GB2312" w:eastAsia="仿宋_GB2312" w:cs="仿宋_GB2312"/>
                <w:bCs/>
                <w:sz w:val="21"/>
                <w:szCs w:val="21"/>
                <w:lang w:val="en-US" w:eastAsia="zh-CN"/>
              </w:rPr>
              <w:t>★</w:t>
            </w:r>
            <w:r>
              <w:rPr>
                <w:rFonts w:hint="eastAsia" w:ascii="仿宋_GB2312" w:hAnsi="仿宋_GB2312" w:eastAsia="仿宋_GB2312" w:cs="仿宋_GB2312"/>
                <w:bCs/>
                <w:sz w:val="21"/>
                <w:szCs w:val="21"/>
                <w:lang w:eastAsia="zh-CN"/>
              </w:rPr>
              <w:t>固定报表支持财务和各类</w:t>
            </w:r>
            <w:r>
              <w:rPr>
                <w:rFonts w:hint="eastAsia" w:ascii="仿宋_GB2312" w:hAnsi="仿宋_GB2312" w:eastAsia="仿宋_GB2312" w:cs="仿宋_GB2312"/>
                <w:bCs/>
                <w:sz w:val="21"/>
                <w:szCs w:val="21"/>
                <w:lang w:val="en-US" w:eastAsia="zh-CN"/>
              </w:rPr>
              <w:t>业务领域</w:t>
            </w:r>
            <w:r>
              <w:rPr>
                <w:rFonts w:hint="eastAsia" w:ascii="仿宋_GB2312" w:hAnsi="仿宋_GB2312" w:eastAsia="仿宋_GB2312" w:cs="仿宋_GB2312"/>
                <w:bCs/>
                <w:sz w:val="21"/>
                <w:szCs w:val="21"/>
                <w:lang w:eastAsia="zh-CN"/>
              </w:rPr>
              <w:t>复杂业务报表，满足统一的、集成的、高效的、自动的报表生成。</w:t>
            </w:r>
            <w:r>
              <w:rPr>
                <w:rFonts w:hint="eastAsia" w:ascii="仿宋_GB2312" w:hAnsi="仿宋_GB2312" w:eastAsia="仿宋_GB2312" w:cs="仿宋_GB2312"/>
                <w:bCs/>
                <w:sz w:val="21"/>
                <w:szCs w:val="21"/>
              </w:rPr>
              <w:t>采用可视化设计方式，完全兼容Excel公式，同样支持操作撤销和重做</w:t>
            </w:r>
            <w:r>
              <w:rPr>
                <w:rFonts w:hint="eastAsia" w:ascii="仿宋_GB2312" w:hAnsi="仿宋_GB2312" w:eastAsia="仿宋_GB2312" w:cs="仿宋_GB2312"/>
                <w:bCs/>
                <w:sz w:val="21"/>
                <w:szCs w:val="21"/>
                <w:lang w:eastAsia="zh-CN"/>
              </w:rPr>
              <w:t>，可将数据源的数据在报表设计器中进行报表设计、开发、发布；</w:t>
            </w:r>
            <w:r>
              <w:rPr>
                <w:rFonts w:hint="eastAsia" w:ascii="仿宋_GB2312" w:hAnsi="仿宋_GB2312" w:eastAsia="仿宋_GB2312" w:cs="仿宋_GB2312"/>
                <w:bCs/>
                <w:sz w:val="21"/>
                <w:szCs w:val="21"/>
                <w:lang w:val="en-US" w:eastAsia="zh-CN"/>
              </w:rPr>
              <w:t>实现报表内容进行模板版本管理，可保存任意多个历史版本，并支持对从任意历史版本还原。</w:t>
            </w:r>
          </w:p>
          <w:p w14:paraId="01D7CAEB">
            <w:pPr>
              <w:widowControl w:val="0"/>
              <w:topLinePunct/>
              <w:spacing w:line="240" w:lineRule="auto"/>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2、提供透视分析功能，满足用户自助多维度数据探索需求。基于</w:t>
            </w:r>
            <w:r>
              <w:rPr>
                <w:rFonts w:hint="eastAsia" w:ascii="仿宋_GB2312" w:hAnsi="仿宋_GB2312" w:eastAsia="仿宋_GB2312" w:cs="仿宋_GB2312"/>
                <w:color w:val="auto"/>
                <w:sz w:val="21"/>
                <w:szCs w:val="21"/>
                <w:lang w:val="en-US" w:eastAsia="zh-CN"/>
              </w:rPr>
              <w:t>系统</w:t>
            </w:r>
            <w:r>
              <w:rPr>
                <w:rFonts w:hint="eastAsia" w:ascii="仿宋_GB2312" w:hAnsi="仿宋_GB2312" w:eastAsia="仿宋_GB2312" w:cs="仿宋_GB2312"/>
                <w:color w:val="auto"/>
                <w:sz w:val="21"/>
                <w:szCs w:val="21"/>
              </w:rPr>
              <w:t>查询出来的清单数据，可作为明细数据进行进一步的</w:t>
            </w:r>
            <w:r>
              <w:rPr>
                <w:rFonts w:hint="eastAsia" w:ascii="仿宋_GB2312" w:hAnsi="仿宋_GB2312" w:eastAsia="仿宋_GB2312" w:cs="仿宋_GB2312"/>
                <w:color w:val="auto"/>
                <w:sz w:val="21"/>
                <w:szCs w:val="21"/>
                <w:lang w:val="en-US" w:eastAsia="zh-CN"/>
              </w:rPr>
              <w:t>穿透及</w:t>
            </w:r>
            <w:r>
              <w:rPr>
                <w:rFonts w:hint="eastAsia" w:ascii="仿宋_GB2312" w:hAnsi="仿宋_GB2312" w:eastAsia="仿宋_GB2312" w:cs="仿宋_GB2312"/>
                <w:color w:val="auto"/>
                <w:sz w:val="21"/>
                <w:szCs w:val="21"/>
              </w:rPr>
              <w:t>透视，可对明细数据进行数据探索、汇总、多维度分析；能够灵活自主选择</w:t>
            </w:r>
            <w:r>
              <w:rPr>
                <w:rFonts w:hint="eastAsia" w:ascii="仿宋_GB2312" w:hAnsi="仿宋_GB2312" w:eastAsia="仿宋_GB2312" w:cs="仿宋_GB2312"/>
                <w:color w:val="auto"/>
                <w:sz w:val="21"/>
                <w:szCs w:val="21"/>
                <w:lang w:val="en-US" w:eastAsia="zh-CN"/>
              </w:rPr>
              <w:t>不同</w:t>
            </w:r>
            <w:r>
              <w:rPr>
                <w:rFonts w:hint="eastAsia" w:ascii="仿宋_GB2312" w:hAnsi="仿宋_GB2312" w:eastAsia="仿宋_GB2312" w:cs="仿宋_GB2312"/>
                <w:color w:val="auto"/>
                <w:sz w:val="21"/>
                <w:szCs w:val="21"/>
              </w:rPr>
              <w:t>维度</w:t>
            </w:r>
            <w:r>
              <w:rPr>
                <w:rFonts w:hint="eastAsia" w:ascii="仿宋_GB2312" w:hAnsi="仿宋_GB2312" w:eastAsia="仿宋_GB2312" w:cs="仿宋_GB2312"/>
                <w:color w:val="auto"/>
                <w:sz w:val="21"/>
                <w:szCs w:val="21"/>
                <w:lang w:val="en-US" w:eastAsia="zh-CN"/>
              </w:rPr>
              <w:t>数据</w:t>
            </w:r>
            <w:r>
              <w:rPr>
                <w:rFonts w:hint="eastAsia" w:ascii="仿宋_GB2312" w:hAnsi="仿宋_GB2312" w:eastAsia="仿宋_GB2312" w:cs="仿宋_GB2312"/>
                <w:color w:val="auto"/>
                <w:sz w:val="21"/>
                <w:szCs w:val="21"/>
              </w:rPr>
              <w:t>进行汇总、聚合、下钻、切片等分析操作</w:t>
            </w:r>
            <w:r>
              <w:rPr>
                <w:rFonts w:hint="eastAsia" w:ascii="仿宋_GB2312" w:hAnsi="仿宋_GB2312" w:eastAsia="仿宋_GB2312" w:cs="仿宋_GB2312"/>
                <w:color w:val="auto"/>
                <w:sz w:val="21"/>
                <w:szCs w:val="21"/>
                <w:lang w:eastAsia="zh-CN"/>
              </w:rPr>
              <w:t>。</w:t>
            </w:r>
          </w:p>
          <w:p w14:paraId="27BAA684">
            <w:pPr>
              <w:widowControl w:val="0"/>
              <w:numPr>
                <w:ilvl w:val="0"/>
                <w:numId w:val="0"/>
              </w:numPr>
              <w:topLinePunct/>
              <w:spacing w:line="240" w:lineRule="auto"/>
              <w:ind w:firstLine="420" w:firstLineChars="200"/>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3、★支持不同业务领域（含财务）数据源链接、接口对接，对于财务和业务系统数据，有成型标准化接入系统模版及内容。</w:t>
            </w:r>
          </w:p>
          <w:p w14:paraId="22D3D3DE">
            <w:pPr>
              <w:widowControl w:val="0"/>
              <w:numPr>
                <w:ilvl w:val="-1"/>
                <w:numId w:val="0"/>
              </w:numPr>
              <w:topLinePunct/>
              <w:spacing w:line="240" w:lineRule="auto"/>
              <w:ind w:firstLine="420" w:firstLineChars="200"/>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4、★支</w:t>
            </w:r>
            <w:r>
              <w:rPr>
                <w:rFonts w:hint="eastAsia" w:ascii="仿宋_GB2312" w:hAnsi="仿宋_GB2312" w:eastAsia="仿宋_GB2312" w:cs="仿宋_GB2312"/>
                <w:color w:val="auto"/>
                <w:sz w:val="21"/>
                <w:szCs w:val="21"/>
              </w:rPr>
              <w:t>持多种填报入库方式，包括插入数据、更新数据、删除数据</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业务系统对接数据</w:t>
            </w:r>
            <w:r>
              <w:rPr>
                <w:rFonts w:hint="eastAsia" w:ascii="仿宋_GB2312" w:hAnsi="仿宋_GB2312" w:eastAsia="仿宋_GB2312" w:cs="仿宋_GB2312"/>
                <w:color w:val="auto"/>
                <w:sz w:val="21"/>
                <w:szCs w:val="21"/>
              </w:rPr>
              <w:t>等</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可针对</w:t>
            </w:r>
            <w:r>
              <w:rPr>
                <w:rFonts w:hint="eastAsia" w:ascii="仿宋_GB2312" w:hAnsi="仿宋_GB2312" w:eastAsia="仿宋_GB2312" w:cs="仿宋_GB2312"/>
                <w:color w:val="auto"/>
                <w:sz w:val="21"/>
                <w:szCs w:val="21"/>
                <w:lang w:eastAsia="zh-CN"/>
              </w:rPr>
              <w:t>提供全方位的数据校验，包括及时校验、提交校验以及自定义JS校验等多种校验方式，确保录入数据的准确。</w:t>
            </w:r>
          </w:p>
          <w:p w14:paraId="45D0C4C7">
            <w:pPr>
              <w:widowControl w:val="0"/>
              <w:topLinePunct/>
              <w:spacing w:before="0" w:after="0" w:line="240" w:lineRule="auto"/>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5</w:t>
            </w:r>
            <w:r>
              <w:rPr>
                <w:rFonts w:hint="eastAsia" w:ascii="仿宋_GB2312" w:hAnsi="仿宋_GB2312" w:eastAsia="仿宋_GB2312" w:cs="仿宋_GB2312"/>
                <w:bCs/>
                <w:sz w:val="21"/>
                <w:szCs w:val="21"/>
              </w:rPr>
              <w:t>、提供</w:t>
            </w:r>
            <w:r>
              <w:rPr>
                <w:rFonts w:hint="eastAsia" w:ascii="仿宋_GB2312" w:hAnsi="仿宋_GB2312" w:eastAsia="仿宋_GB2312" w:cs="仿宋_GB2312"/>
                <w:bCs/>
                <w:sz w:val="21"/>
                <w:szCs w:val="21"/>
                <w:lang w:val="en-US" w:eastAsia="zh-CN"/>
              </w:rPr>
              <w:t>全面完整的角色</w:t>
            </w:r>
            <w:r>
              <w:rPr>
                <w:rFonts w:hint="eastAsia" w:ascii="仿宋_GB2312" w:hAnsi="仿宋_GB2312" w:eastAsia="仿宋_GB2312" w:cs="仿宋_GB2312"/>
                <w:bCs/>
                <w:sz w:val="21"/>
                <w:szCs w:val="21"/>
              </w:rPr>
              <w:t>权限控制</w:t>
            </w:r>
            <w:r>
              <w:rPr>
                <w:rFonts w:hint="eastAsia" w:ascii="仿宋_GB2312" w:hAnsi="仿宋_GB2312" w:eastAsia="仿宋_GB2312" w:cs="仿宋_GB2312"/>
                <w:bCs/>
                <w:sz w:val="21"/>
                <w:szCs w:val="21"/>
                <w:lang w:val="en-US" w:eastAsia="zh-CN"/>
              </w:rPr>
              <w:t>及管理</w:t>
            </w:r>
            <w:r>
              <w:rPr>
                <w:rFonts w:hint="eastAsia" w:ascii="仿宋_GB2312" w:hAnsi="仿宋_GB2312" w:eastAsia="仿宋_GB2312" w:cs="仿宋_GB2312"/>
                <w:bCs/>
                <w:sz w:val="21"/>
                <w:szCs w:val="21"/>
              </w:rPr>
              <w:t>体系，表单级别可控制到某个角色或用户的新建、修改、审核、反审、关闭、删除、查看、导出、打印等权限。单元格级别可控制到某个角色或用户的新建、修改、查看。</w:t>
            </w:r>
          </w:p>
          <w:p w14:paraId="6F2221D4">
            <w:pPr>
              <w:widowControl w:val="0"/>
              <w:topLinePunct/>
              <w:spacing w:before="0" w:after="0" w:line="240" w:lineRule="auto"/>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6、支持多维度数</w:t>
            </w:r>
            <w:r>
              <w:rPr>
                <w:rFonts w:hint="eastAsia" w:ascii="仿宋_GB2312" w:hAnsi="仿宋_GB2312" w:eastAsia="仿宋_GB2312" w:cs="仿宋_GB2312"/>
                <w:bCs/>
                <w:sz w:val="21"/>
                <w:szCs w:val="21"/>
              </w:rPr>
              <w:t>据权限：实现不同区域的用户登录后只能看到其所属区域及子区域的数据。支持数据行、列权限管控。</w:t>
            </w:r>
            <w:r>
              <w:rPr>
                <w:rFonts w:hint="eastAsia" w:ascii="仿宋_GB2312" w:hAnsi="仿宋_GB2312" w:eastAsia="仿宋_GB2312" w:cs="仿宋_GB2312"/>
                <w:bCs/>
                <w:sz w:val="21"/>
                <w:szCs w:val="21"/>
                <w:lang w:val="en-US" w:eastAsia="zh-CN"/>
              </w:rPr>
              <w:t>填报数据可做基础校验功能满足财务审查需要</w:t>
            </w:r>
            <w:r>
              <w:rPr>
                <w:rFonts w:hint="eastAsia" w:ascii="仿宋_GB2312" w:hAnsi="仿宋_GB2312" w:eastAsia="仿宋_GB2312" w:cs="仿宋_GB2312"/>
                <w:bCs/>
                <w:sz w:val="21"/>
                <w:szCs w:val="21"/>
              </w:rPr>
              <w:t>。</w:t>
            </w:r>
            <w:r>
              <w:rPr>
                <w:rFonts w:hint="eastAsia" w:ascii="仿宋_GB2312" w:hAnsi="仿宋_GB2312" w:eastAsia="仿宋_GB2312" w:cs="仿宋_GB2312"/>
                <w:color w:val="auto"/>
                <w:sz w:val="21"/>
                <w:szCs w:val="21"/>
              </w:rPr>
              <w:t>系统支持</w:t>
            </w:r>
            <w:r>
              <w:rPr>
                <w:rFonts w:hint="eastAsia" w:ascii="仿宋_GB2312" w:hAnsi="仿宋_GB2312" w:eastAsia="仿宋_GB2312" w:cs="仿宋_GB2312"/>
                <w:color w:val="auto"/>
                <w:sz w:val="21"/>
                <w:szCs w:val="21"/>
                <w:lang w:val="en-US" w:eastAsia="zh-CN"/>
              </w:rPr>
              <w:t>部门</w:t>
            </w:r>
            <w:r>
              <w:rPr>
                <w:rFonts w:hint="eastAsia" w:ascii="仿宋_GB2312" w:hAnsi="仿宋_GB2312" w:eastAsia="仿宋_GB2312" w:cs="仿宋_GB2312"/>
                <w:color w:val="auto"/>
                <w:sz w:val="21"/>
                <w:szCs w:val="21"/>
              </w:rPr>
              <w:t>管理，支持创建</w:t>
            </w:r>
            <w:r>
              <w:rPr>
                <w:rFonts w:hint="eastAsia" w:ascii="仿宋_GB2312" w:hAnsi="仿宋_GB2312" w:eastAsia="仿宋_GB2312" w:cs="仿宋_GB2312"/>
                <w:color w:val="auto"/>
                <w:sz w:val="21"/>
                <w:szCs w:val="21"/>
                <w:lang w:val="en-US" w:eastAsia="zh-CN"/>
              </w:rPr>
              <w:t>部门</w:t>
            </w:r>
            <w:r>
              <w:rPr>
                <w:rFonts w:hint="eastAsia" w:ascii="仿宋_GB2312" w:hAnsi="仿宋_GB2312" w:eastAsia="仿宋_GB2312" w:cs="仿宋_GB2312"/>
                <w:color w:val="auto"/>
                <w:sz w:val="21"/>
                <w:szCs w:val="21"/>
              </w:rPr>
              <w:t>、成员角色分配、系统成员信息维护等</w:t>
            </w:r>
            <w:r>
              <w:rPr>
                <w:rFonts w:hint="eastAsia" w:ascii="仿宋_GB2312" w:hAnsi="仿宋_GB2312" w:eastAsia="仿宋_GB2312" w:cs="仿宋_GB2312"/>
                <w:color w:val="auto"/>
                <w:sz w:val="21"/>
                <w:szCs w:val="21"/>
                <w:lang w:eastAsia="zh-CN"/>
              </w:rPr>
              <w:t>。</w:t>
            </w:r>
          </w:p>
          <w:p w14:paraId="43DD3E6B">
            <w:pPr>
              <w:widowControl w:val="0"/>
              <w:topLinePunct/>
              <w:spacing w:before="0" w:after="0" w:line="240" w:lineRule="auto"/>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7、</w:t>
            </w:r>
            <w:r>
              <w:rPr>
                <w:rFonts w:hint="eastAsia" w:ascii="仿宋_GB2312" w:hAnsi="仿宋_GB2312" w:eastAsia="仿宋_GB2312" w:cs="仿宋_GB2312"/>
                <w:bCs/>
                <w:sz w:val="21"/>
                <w:szCs w:val="21"/>
              </w:rPr>
              <w:t>★支持用户</w:t>
            </w:r>
            <w:r>
              <w:rPr>
                <w:rFonts w:hint="eastAsia" w:ascii="仿宋_GB2312" w:hAnsi="仿宋_GB2312" w:eastAsia="仿宋_GB2312" w:cs="仿宋_GB2312"/>
                <w:bCs/>
                <w:sz w:val="21"/>
                <w:szCs w:val="21"/>
                <w:lang w:val="en-US" w:eastAsia="zh-CN"/>
              </w:rPr>
              <w:t>自</w:t>
            </w:r>
            <w:r>
              <w:rPr>
                <w:rFonts w:hint="eastAsia" w:ascii="仿宋_GB2312" w:hAnsi="仿宋_GB2312" w:eastAsia="仿宋_GB2312" w:cs="仿宋_GB2312"/>
                <w:bCs/>
                <w:sz w:val="21"/>
                <w:szCs w:val="21"/>
              </w:rPr>
              <w:t>定义设置填报数据审核流程，支持自动审批流程，自定义审批流程，可实现数据审核、退回等操作，并通过多种方式提醒用户完成任务。</w:t>
            </w:r>
          </w:p>
          <w:p w14:paraId="7325EDA3">
            <w:pPr>
              <w:widowControl w:val="0"/>
              <w:numPr>
                <w:ilvl w:val="-1"/>
                <w:numId w:val="0"/>
              </w:numPr>
              <w:topLinePunct/>
              <w:spacing w:line="240" w:lineRule="auto"/>
              <w:ind w:firstLine="420" w:firstLineChars="200"/>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Cs/>
                <w:sz w:val="21"/>
                <w:szCs w:val="21"/>
                <w:lang w:val="en-US" w:eastAsia="zh-CN"/>
              </w:rPr>
              <w:t>8、</w:t>
            </w: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val="en-US" w:eastAsia="zh-CN"/>
              </w:rPr>
              <w:t>支持对数据进行处理加工，能够自动进行排序，占比，环比，同比等快速运算；</w:t>
            </w:r>
            <w:r>
              <w:rPr>
                <w:rFonts w:hint="eastAsia" w:ascii="仿宋_GB2312" w:hAnsi="仿宋_GB2312" w:eastAsia="仿宋_GB2312" w:cs="仿宋_GB2312"/>
                <w:color w:val="auto"/>
                <w:sz w:val="21"/>
                <w:szCs w:val="21"/>
                <w:lang w:val="en-US" w:eastAsia="zh-CN"/>
              </w:rPr>
              <w:t>提供交互式的可视化的仪表盘功能，内置丰富图形类型，用于财务分析看板、采购分析看板等领导驾驶舱看板开发制作。</w:t>
            </w:r>
          </w:p>
          <w:p w14:paraId="32B34B38">
            <w:pPr>
              <w:widowControl w:val="0"/>
              <w:numPr>
                <w:ilvl w:val="0"/>
                <w:numId w:val="0"/>
              </w:numPr>
              <w:topLinePunct/>
              <w:spacing w:line="240" w:lineRule="auto"/>
              <w:ind w:firstLine="420" w:firstLineChars="200"/>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看板设计：设计看板布局、实现数据可视化，按需呈现各部门、各单位关键数据指标，根据用户需求查看最新数据情况，指标数据可层层穿透到具体财务或业务系统明细信息；图表组件：支持分区柱图、条形图、折线图、面积图、堆积柱图、饼图、圆环图、大数据散点图等。</w:t>
            </w:r>
          </w:p>
          <w:p w14:paraId="5AC42C8E">
            <w:pPr>
              <w:widowControl w:val="0"/>
              <w:numPr>
                <w:ilvl w:val="0"/>
                <w:numId w:val="0"/>
              </w:numPr>
              <w:topLinePunct/>
              <w:spacing w:line="240" w:lineRule="auto"/>
              <w:ind w:firstLine="420" w:firstLineChars="200"/>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支持通过缩放的方式来查看仪表盘的全景图，可动态设置画布分辨率大小；支持多种交互组件，如Tab页、页签等组件。可快速选中设置联动或钻取的图表，图表之间实现联动、钻取查询。内容可导出打印为各种文件格式，如Excel、Word、PDF、PNG图片等。</w:t>
            </w:r>
          </w:p>
          <w:p w14:paraId="0980291A">
            <w:pPr>
              <w:widowControl w:val="0"/>
              <w:numPr>
                <w:ilvl w:val="0"/>
                <w:numId w:val="0"/>
              </w:numPr>
              <w:topLinePunct/>
              <w:spacing w:line="240" w:lineRule="auto"/>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11、★针对财务分析快报支持分析报告功能，并支持多版本，兼容其Word分析报告的模板，可直接引用系统的指标、图形等资源放入到Word的静态模板中。业务用户可根据业务查看维度（例如：时间、区域），进行维度过滤，可动态刷新出最新月份和所属区域的报告数据，后续版本可免费升级。</w:t>
            </w:r>
          </w:p>
          <w:p w14:paraId="67B235EE">
            <w:pPr>
              <w:widowControl w:val="0"/>
              <w:topLinePunct/>
              <w:spacing w:before="0" w:after="0" w:line="240" w:lineRule="auto"/>
              <w:ind w:firstLine="420" w:firstLineChars="200"/>
              <w:jc w:val="both"/>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lang w:val="en-US" w:eastAsia="zh-CN"/>
              </w:rPr>
              <w:t>12、</w:t>
            </w:r>
            <w:r>
              <w:rPr>
                <w:rFonts w:hint="eastAsia" w:ascii="仿宋_GB2312" w:hAnsi="仿宋_GB2312" w:eastAsia="仿宋_GB2312" w:cs="仿宋_GB2312"/>
                <w:bCs/>
                <w:sz w:val="21"/>
                <w:szCs w:val="21"/>
              </w:rPr>
              <w:t>系统级备份恢复：支持定期自动备份或者手动一键备份整个系统的资源，当因意外情况系统数据遭到破坏，或者需要整体迁移到另一服务器上，可以利用备份文件快速还原</w:t>
            </w:r>
            <w:r>
              <w:rPr>
                <w:rFonts w:hint="eastAsia" w:ascii="仿宋_GB2312" w:hAnsi="仿宋_GB2312" w:eastAsia="仿宋_GB2312" w:cs="仿宋_GB2312"/>
                <w:bCs/>
                <w:sz w:val="21"/>
                <w:szCs w:val="21"/>
                <w:lang w:eastAsia="zh-CN"/>
              </w:rPr>
              <w:t>。</w:t>
            </w:r>
          </w:p>
          <w:p w14:paraId="5B0F9D7E">
            <w:pPr>
              <w:widowControl w:val="0"/>
              <w:topLinePunct/>
              <w:spacing w:before="0" w:after="0" w:line="240" w:lineRule="auto"/>
              <w:ind w:firstLine="420" w:firstLineChars="200"/>
              <w:jc w:val="both"/>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rPr>
              <w:t>1</w:t>
            </w:r>
            <w:r>
              <w:rPr>
                <w:rFonts w:hint="eastAsia" w:ascii="仿宋_GB2312" w:hAnsi="仿宋_GB2312" w:eastAsia="仿宋_GB2312" w:cs="仿宋_GB2312"/>
                <w:bCs/>
                <w:sz w:val="21"/>
                <w:szCs w:val="21"/>
                <w:lang w:val="en-US" w:eastAsia="zh-CN"/>
              </w:rPr>
              <w:t>3</w:t>
            </w:r>
            <w:r>
              <w:rPr>
                <w:rFonts w:hint="eastAsia" w:ascii="仿宋_GB2312" w:hAnsi="仿宋_GB2312" w:eastAsia="仿宋_GB2312" w:cs="仿宋_GB2312"/>
                <w:bCs/>
                <w:sz w:val="21"/>
                <w:szCs w:val="21"/>
              </w:rPr>
              <w:t>、应用端运维监控：支持可视化、统一的系统监控界面，方便系统管理员进行系统运行监控与问题排查</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lang w:val="en-US" w:eastAsia="zh-CN"/>
              </w:rPr>
              <w:t>支持推送周月报、内存阈值通知等消息，通过邮件、短信等方式推送。</w:t>
            </w:r>
          </w:p>
          <w:p w14:paraId="7C6AD4AC">
            <w:pPr>
              <w:widowControl w:val="0"/>
              <w:topLinePunct/>
              <w:spacing w:line="240" w:lineRule="auto"/>
              <w:ind w:firstLine="420" w:firstLineChars="200"/>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r>
              <w:rPr>
                <w:rFonts w:hint="eastAsia" w:ascii="仿宋_GB2312" w:hAnsi="仿宋_GB2312" w:eastAsia="仿宋_GB2312" w:cs="仿宋_GB2312"/>
                <w:color w:val="auto"/>
                <w:sz w:val="21"/>
                <w:szCs w:val="21"/>
              </w:rPr>
              <w:t>、★系统为厂商自主研发，具有自主知识产权</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若响应方代理投标，则需提供相应的原厂授权书</w:t>
            </w:r>
            <w:r>
              <w:rPr>
                <w:rFonts w:hint="eastAsia" w:ascii="仿宋_GB2312" w:hAnsi="仿宋_GB2312" w:eastAsia="仿宋_GB2312" w:cs="仿宋_GB2312"/>
                <w:color w:val="auto"/>
                <w:sz w:val="21"/>
                <w:szCs w:val="21"/>
              </w:rPr>
              <w:t>。（提供相应软件著作权证书）</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系统使用的并发数不低于80个。</w:t>
            </w:r>
          </w:p>
          <w:p w14:paraId="77747960">
            <w:pPr>
              <w:topLinePunct/>
              <w:spacing w:line="240" w:lineRule="auto"/>
              <w:ind w:firstLine="42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b w:val="0"/>
                <w:bCs w:val="0"/>
                <w:iCs w:val="0"/>
                <w:color w:val="auto"/>
                <w:sz w:val="21"/>
                <w:szCs w:val="21"/>
                <w:lang w:val="en-US" w:eastAsia="zh-CN"/>
              </w:rPr>
              <w:t>安全方面支持SQL防注入、防XSS、Cookie增强、文件上传校验、Security Headers等安全防护措施；</w:t>
            </w:r>
            <w:r>
              <w:rPr>
                <w:rFonts w:hint="eastAsia" w:ascii="仿宋_GB2312" w:hAnsi="仿宋_GB2312" w:eastAsia="仿宋_GB2312" w:cs="仿宋_GB2312"/>
                <w:color w:val="auto"/>
                <w:sz w:val="21"/>
                <w:szCs w:val="21"/>
              </w:rPr>
              <w:t>系统需经过专业测评机构（测评机构要具备信息安全服务风险评估</w:t>
            </w:r>
            <w:r>
              <w:rPr>
                <w:rFonts w:hint="eastAsia" w:ascii="仿宋_GB2312" w:hAnsi="仿宋_GB2312" w:eastAsia="仿宋_GB2312" w:cs="仿宋_GB2312"/>
                <w:color w:val="auto"/>
                <w:sz w:val="21"/>
                <w:szCs w:val="21"/>
                <w:lang w:val="en-US" w:eastAsia="zh-CN"/>
              </w:rPr>
              <w:t>三</w:t>
            </w:r>
            <w:r>
              <w:rPr>
                <w:rFonts w:hint="eastAsia" w:ascii="仿宋_GB2312" w:hAnsi="仿宋_GB2312" w:eastAsia="仿宋_GB2312" w:cs="仿宋_GB2312"/>
                <w:color w:val="auto"/>
                <w:sz w:val="21"/>
                <w:szCs w:val="21"/>
              </w:rPr>
              <w:t>级及以上证书）安全评测并通过。（提供评测报告和评测机构资质证书）</w:t>
            </w:r>
          </w:p>
          <w:p w14:paraId="133520AA">
            <w:pPr>
              <w:widowControl w:val="0"/>
              <w:topLinePunct/>
              <w:spacing w:line="240" w:lineRule="auto"/>
              <w:ind w:firstLine="420" w:firstLineChars="200"/>
              <w:jc w:val="both"/>
              <w:rPr>
                <w:rFonts w:hint="default"/>
                <w:lang w:val="en-US" w:eastAsia="zh-CN"/>
              </w:rPr>
            </w:pPr>
            <w:r>
              <w:rPr>
                <w:rFonts w:hint="eastAsia" w:ascii="仿宋_GB2312" w:hAnsi="仿宋_GB2312" w:eastAsia="仿宋_GB2312" w:cs="仿宋_GB2312"/>
                <w:color w:val="auto"/>
                <w:sz w:val="21"/>
                <w:szCs w:val="21"/>
                <w:lang w:val="en-US" w:eastAsia="zh-CN"/>
              </w:rPr>
              <w:t>16、</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支持国产主流Linu操作系统的32位和64位版本，如：银河麒麟、红旗、统信和中科方德等国产化操作系统，需提供相关证明；支持Kingbase、OceanBase、Gbase、人大金仓、达梦、华为Gauss、阿里云AnalyticDB等国产数据库，需提供相关证明。支持chrome、edge、火狐、360等主流浏览器，且无须安装任何插件，需提供相关证明。</w:t>
            </w:r>
          </w:p>
        </w:tc>
        <w:tc>
          <w:tcPr>
            <w:tcW w:w="483" w:type="pct"/>
            <w:tcBorders>
              <w:top w:val="nil"/>
              <w:left w:val="nil"/>
              <w:bottom w:val="single" w:color="auto" w:sz="4" w:space="0"/>
              <w:right w:val="single" w:color="auto" w:sz="4" w:space="0"/>
            </w:tcBorders>
            <w:noWrap/>
            <w:vAlign w:val="center"/>
          </w:tcPr>
          <w:p w14:paraId="1B5D4A51">
            <w:pPr>
              <w:widowControl w:val="0"/>
              <w:topLinePunct/>
              <w:spacing w:line="440" w:lineRule="exact"/>
              <w:ind w:firstLine="210" w:firstLineChars="1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套</w:t>
            </w:r>
          </w:p>
        </w:tc>
        <w:tc>
          <w:tcPr>
            <w:tcW w:w="436" w:type="pct"/>
            <w:tcBorders>
              <w:top w:val="nil"/>
              <w:left w:val="nil"/>
              <w:bottom w:val="single" w:color="auto" w:sz="4" w:space="0"/>
              <w:right w:val="single" w:color="auto" w:sz="4" w:space="0"/>
            </w:tcBorders>
            <w:noWrap/>
            <w:vAlign w:val="center"/>
          </w:tcPr>
          <w:p w14:paraId="7BBA316E">
            <w:pPr>
              <w:widowControl w:val="0"/>
              <w:topLinePunct/>
              <w:spacing w:line="440" w:lineRule="exact"/>
              <w:ind w:firstLine="210" w:firstLineChars="1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r>
      <w:bookmarkEnd w:id="72"/>
    </w:tbl>
    <w:p w14:paraId="41E9EB58">
      <w:pPr>
        <w:widowControl w:val="0"/>
        <w:spacing w:before="0" w:after="0" w:line="576" w:lineRule="exact"/>
        <w:ind w:firstLine="562" w:firstLineChars="200"/>
        <w:jc w:val="both"/>
        <w:rPr>
          <w:rFonts w:hint="eastAsia" w:ascii="仿宋_GB2312" w:hAnsi="Times New Roman" w:eastAsia="仿宋_GB2312" w:cs="仿宋_GB2312"/>
          <w:b/>
          <w:bCs/>
          <w:color w:val="000000"/>
          <w:kern w:val="2"/>
          <w:sz w:val="28"/>
          <w:szCs w:val="28"/>
          <w:highlight w:val="none"/>
          <w:lang w:val="en-US" w:eastAsia="zh-CN" w:bidi="ar"/>
        </w:rPr>
      </w:pPr>
      <w:r>
        <w:rPr>
          <w:rFonts w:hint="eastAsia" w:ascii="仿宋_GB2312" w:hAnsi="Times New Roman" w:eastAsia="仿宋_GB2312" w:cs="仿宋_GB2312"/>
          <w:b/>
          <w:bCs/>
          <w:color w:val="000000"/>
          <w:kern w:val="2"/>
          <w:sz w:val="28"/>
          <w:szCs w:val="28"/>
          <w:highlight w:val="none"/>
          <w:lang w:val="en-US" w:eastAsia="zh-CN" w:bidi="ar"/>
        </w:rPr>
        <w:t>（二）财务分析业务功能及功能规格参数</w:t>
      </w:r>
    </w:p>
    <w:p w14:paraId="23A0A3EB">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
          <w:bCs w:val="0"/>
          <w:sz w:val="28"/>
          <w:szCs w:val="28"/>
        </w:rPr>
      </w:pPr>
      <w:r>
        <w:rPr>
          <w:rFonts w:hint="eastAsia" w:ascii="仿宋_GB2312" w:hAnsi="仿宋_GB2312" w:eastAsia="仿宋_GB2312" w:cs="仿宋_GB2312"/>
          <w:bCs/>
          <w:sz w:val="28"/>
          <w:szCs w:val="28"/>
        </w:rPr>
        <w:t>支持基于大数据技术的应用，通过合理的数据采集、清洗、分析、可视化等步骤，进行多维度数据分析，支持按时间、部门、产品线、地区等多维度进行数据分析</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帮助公司制定更具针对性和创新性的战略经营决策，提高公司的竞争力和效率。</w:t>
      </w:r>
      <w:r>
        <w:rPr>
          <w:rFonts w:hint="eastAsia" w:ascii="仿宋_GB2312" w:hAnsi="仿宋_GB2312" w:eastAsia="仿宋_GB2312" w:cs="仿宋_GB2312"/>
          <w:b/>
          <w:bCs w:val="0"/>
          <w:sz w:val="28"/>
          <w:szCs w:val="28"/>
          <w:highlight w:val="none"/>
          <w:lang w:val="en-US" w:eastAsia="zh-CN"/>
        </w:rPr>
        <w:t>数据采集能实现自动化采集、自动化对账（和财务部门的财务软件系统）、实现穿透查询功能，可以穿透到会计凭证。</w:t>
      </w:r>
    </w:p>
    <w:p w14:paraId="31C70DCB">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财务数据分析内容应包括但不限于部门主要财务指标展示、财务预算、成本费用、研发投入、盈利能力、偿债能力等主题分析模块，以及现有的财务快报分析报告线上化。具体如下</w:t>
      </w:r>
      <w:r>
        <w:rPr>
          <w:rFonts w:hint="eastAsia" w:ascii="仿宋_GB2312" w:hAnsi="仿宋_GB2312" w:eastAsia="仿宋_GB2312" w:cs="仿宋_GB2312"/>
          <w:bCs/>
          <w:sz w:val="28"/>
          <w:szCs w:val="28"/>
          <w:lang w:eastAsia="zh-CN"/>
        </w:rPr>
        <w:t>：</w:t>
      </w:r>
    </w:p>
    <w:p w14:paraId="6C1366B9">
      <w:pPr>
        <w:pStyle w:val="37"/>
        <w:widowControl w:val="0"/>
        <w:numPr>
          <w:ilvl w:val="0"/>
          <w:numId w:val="0"/>
        </w:numPr>
        <w:spacing w:before="0" w:after="0" w:line="576" w:lineRule="exact"/>
        <w:ind w:firstLine="560"/>
        <w:rPr>
          <w:rFonts w:hint="eastAsia" w:ascii="仿宋_GB2312" w:hAnsi="仿宋_GB2312" w:eastAsia="仿宋_GB2312" w:cs="仿宋_GB2312"/>
          <w:b w:val="0"/>
          <w:bCs w:val="0"/>
          <w:szCs w:val="28"/>
        </w:rPr>
      </w:pPr>
      <w:bookmarkStart w:id="73" w:name="_Toc181971726"/>
      <w:r>
        <w:rPr>
          <w:rFonts w:hint="eastAsia" w:ascii="仿宋_GB2312" w:hAnsi="仿宋_GB2312" w:eastAsia="仿宋_GB2312" w:cs="仿宋_GB2312"/>
          <w:b w:val="0"/>
          <w:bCs w:val="0"/>
          <w:kern w:val="2"/>
          <w:sz w:val="28"/>
          <w:szCs w:val="28"/>
          <w:lang w:val="en-US" w:eastAsia="zh-CN" w:bidi="ar-SA"/>
        </w:rPr>
        <w:t>1.</w:t>
      </w:r>
      <w:r>
        <w:rPr>
          <w:rFonts w:hint="eastAsia" w:ascii="仿宋_GB2312" w:hAnsi="仿宋_GB2312" w:eastAsia="仿宋_GB2312" w:cs="仿宋_GB2312"/>
          <w:b w:val="0"/>
          <w:bCs w:val="0"/>
          <w:szCs w:val="28"/>
        </w:rPr>
        <w:t>主要财务指标</w:t>
      </w:r>
      <w:bookmarkEnd w:id="73"/>
    </w:p>
    <w:p w14:paraId="404B2408">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全面、实时地展示公司的财务状况和经营成果，为管理层提供关键的财务数据支持，便于其做出更加明智的决策。同时，这也满足了国资委等外部监管机构对公司信息披露的要求，增强了公司的透明度和合规性。分析组件</w:t>
      </w:r>
      <w:r>
        <w:rPr>
          <w:rFonts w:hint="eastAsia" w:ascii="仿宋_GB2312" w:hAnsi="仿宋_GB2312" w:eastAsia="仿宋_GB2312" w:cs="仿宋_GB2312"/>
          <w:bCs/>
          <w:sz w:val="28"/>
          <w:szCs w:val="28"/>
          <w:lang w:val="en-US" w:eastAsia="zh-CN"/>
        </w:rPr>
        <w:t>有：</w:t>
      </w:r>
    </w:p>
    <w:p w14:paraId="2A84056C">
      <w:pPr>
        <w:widowControl w:val="0"/>
        <w:numPr>
          <w:ilvl w:val="0"/>
          <w:numId w:val="6"/>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财务报表概览：包括资产负债表、利润表、现金流量表等关键报表的展示。</w:t>
      </w:r>
    </w:p>
    <w:p w14:paraId="42AF7B31">
      <w:pPr>
        <w:widowControl w:val="0"/>
        <w:numPr>
          <w:ilvl w:val="0"/>
          <w:numId w:val="6"/>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关键指标分析：如总资产、净资产、营业收入、净利润等。</w:t>
      </w:r>
    </w:p>
    <w:p w14:paraId="30060F5B">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w:t>
      </w:r>
    </w:p>
    <w:p w14:paraId="41CAF91D">
      <w:pPr>
        <w:widowControl w:val="0"/>
        <w:numPr>
          <w:ilvl w:val="0"/>
          <w:numId w:val="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总资产：反映公司规模的重要指标。</w:t>
      </w:r>
    </w:p>
    <w:p w14:paraId="3606B86B">
      <w:pPr>
        <w:widowControl w:val="0"/>
        <w:numPr>
          <w:ilvl w:val="0"/>
          <w:numId w:val="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净资产：衡量公司所有者权益的总额。</w:t>
      </w:r>
    </w:p>
    <w:p w14:paraId="6CD5A002">
      <w:pPr>
        <w:widowControl w:val="0"/>
        <w:numPr>
          <w:ilvl w:val="0"/>
          <w:numId w:val="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营业收入：公司一定时期内销售商品或提供劳务所获得的收入总额。</w:t>
      </w:r>
    </w:p>
    <w:p w14:paraId="591608E8">
      <w:pPr>
        <w:widowControl w:val="0"/>
        <w:numPr>
          <w:ilvl w:val="0"/>
          <w:numId w:val="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净利润：公司当期利润总额减去所得税后的金额，反映公司的盈利能力。</w:t>
      </w:r>
    </w:p>
    <w:p w14:paraId="7BF1B6B2">
      <w:pPr>
        <w:pStyle w:val="37"/>
        <w:widowControl w:val="0"/>
        <w:numPr>
          <w:ilvl w:val="0"/>
          <w:numId w:val="0"/>
        </w:numPr>
        <w:spacing w:before="0" w:after="0" w:line="576" w:lineRule="exact"/>
        <w:ind w:firstLine="560" w:firstLineChars="200"/>
        <w:rPr>
          <w:rFonts w:hint="eastAsia" w:ascii="仿宋_GB2312" w:hAnsi="仿宋_GB2312" w:eastAsia="仿宋_GB2312" w:cs="仿宋_GB2312"/>
          <w:b w:val="0"/>
          <w:bCs w:val="0"/>
          <w:szCs w:val="28"/>
        </w:rPr>
      </w:pPr>
      <w:bookmarkStart w:id="74" w:name="_Toc181971727"/>
      <w:r>
        <w:rPr>
          <w:rFonts w:hint="eastAsia" w:ascii="仿宋_GB2312" w:hAnsi="仿宋_GB2312" w:eastAsia="仿宋_GB2312" w:cs="仿宋_GB2312"/>
          <w:b w:val="0"/>
          <w:bCs w:val="0"/>
          <w:kern w:val="2"/>
          <w:sz w:val="28"/>
          <w:szCs w:val="28"/>
          <w:lang w:val="en-US" w:eastAsia="zh-CN" w:bidi="ar-SA"/>
        </w:rPr>
        <w:t>2.</w:t>
      </w:r>
      <w:r>
        <w:rPr>
          <w:rFonts w:hint="eastAsia" w:ascii="仿宋_GB2312" w:hAnsi="仿宋_GB2312" w:eastAsia="仿宋_GB2312" w:cs="仿宋_GB2312"/>
          <w:b w:val="0"/>
          <w:bCs w:val="0"/>
          <w:szCs w:val="28"/>
        </w:rPr>
        <w:t>财务预算</w:t>
      </w:r>
      <w:bookmarkEnd w:id="74"/>
    </w:p>
    <w:p w14:paraId="7A493716">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确保公司资源合理分配以支撑战略目标，监控财务健康状况，辅助管理决策，并通过绩效评估激励团队。每一个环节都对公司的可持续发展至关重要。分析组件</w:t>
      </w:r>
      <w:r>
        <w:rPr>
          <w:rFonts w:hint="eastAsia" w:ascii="仿宋_GB2312" w:hAnsi="仿宋_GB2312" w:eastAsia="仿宋_GB2312" w:cs="仿宋_GB2312"/>
          <w:bCs/>
          <w:sz w:val="28"/>
          <w:szCs w:val="28"/>
          <w:lang w:val="en-US" w:eastAsia="zh-CN"/>
        </w:rPr>
        <w:t>有：</w:t>
      </w:r>
    </w:p>
    <w:p w14:paraId="31507A9F">
      <w:pPr>
        <w:widowControl w:val="0"/>
        <w:numPr>
          <w:ilvl w:val="0"/>
          <w:numId w:val="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预算收入：对公司当年收入的预测</w:t>
      </w:r>
    </w:p>
    <w:p w14:paraId="693F574E">
      <w:pPr>
        <w:widowControl w:val="0"/>
        <w:numPr>
          <w:ilvl w:val="0"/>
          <w:numId w:val="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收入预算执行率：反映经营目标的完成情况</w:t>
      </w:r>
    </w:p>
    <w:p w14:paraId="41185F88">
      <w:pPr>
        <w:widowControl w:val="0"/>
        <w:numPr>
          <w:ilvl w:val="0"/>
          <w:numId w:val="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预算成本费用：当年成本费用的预测</w:t>
      </w:r>
    </w:p>
    <w:p w14:paraId="274E2A79">
      <w:pPr>
        <w:widowControl w:val="0"/>
        <w:numPr>
          <w:ilvl w:val="0"/>
          <w:numId w:val="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实际成本费用：当年或当期的实际成本费用</w:t>
      </w:r>
    </w:p>
    <w:p w14:paraId="24BE1A03">
      <w:pPr>
        <w:widowControl w:val="0"/>
        <w:numPr>
          <w:ilvl w:val="0"/>
          <w:numId w:val="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成本费用预算执行率：成本费用的预算执行情况</w:t>
      </w:r>
    </w:p>
    <w:p w14:paraId="17F9BC60">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 w:val="0"/>
          <w:bCs/>
          <w:sz w:val="28"/>
          <w:szCs w:val="28"/>
        </w:rPr>
      </w:pPr>
      <w:bookmarkStart w:id="75" w:name="_Toc181971728"/>
      <w:r>
        <w:rPr>
          <w:rFonts w:hint="eastAsia" w:ascii="仿宋_GB2312" w:hAnsi="仿宋_GB2312" w:eastAsia="仿宋_GB2312" w:cs="仿宋_GB2312"/>
          <w:b w:val="0"/>
          <w:bCs/>
          <w:kern w:val="0"/>
          <w:sz w:val="28"/>
          <w:szCs w:val="28"/>
          <w:lang w:val="en-US" w:eastAsia="zh-CN" w:bidi="ar-SA"/>
        </w:rPr>
        <w:t>3.</w:t>
      </w:r>
      <w:r>
        <w:rPr>
          <w:rFonts w:hint="eastAsia" w:ascii="仿宋_GB2312" w:hAnsi="仿宋_GB2312" w:eastAsia="仿宋_GB2312" w:cs="仿宋_GB2312"/>
          <w:b w:val="0"/>
          <w:bCs/>
          <w:sz w:val="28"/>
          <w:szCs w:val="28"/>
        </w:rPr>
        <w:t>成本费用</w:t>
      </w:r>
      <w:bookmarkEnd w:id="75"/>
    </w:p>
    <w:p w14:paraId="79AC64D1">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过详细分类和展示公司的各项成本和费用，帮助公司深入了解其成本构成和变动趋势。这有助于公司进行成本控制和优化，提高成本效益，进而增强公司的竞争力。同时，这也满足了国资委等外部监管机构对成本费用管理的监管要求。</w:t>
      </w:r>
    </w:p>
    <w:p w14:paraId="7DDECA5F">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分析组件：</w:t>
      </w:r>
    </w:p>
    <w:p w14:paraId="67B00ED2">
      <w:pPr>
        <w:widowControl w:val="0"/>
        <w:numPr>
          <w:ilvl w:val="0"/>
          <w:numId w:val="9"/>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成本分类展示：按组织、时间等不同维度对成本进行分类展示。</w:t>
      </w:r>
    </w:p>
    <w:p w14:paraId="3D77E729">
      <w:pPr>
        <w:widowControl w:val="0"/>
        <w:numPr>
          <w:ilvl w:val="0"/>
          <w:numId w:val="9"/>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费用明细：对各项费用进行合理分摊，分析费用构成和变动趋势。</w:t>
      </w:r>
    </w:p>
    <w:p w14:paraId="231ACFB6">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核心指标：费用总额</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费用利用率</w:t>
      </w:r>
    </w:p>
    <w:p w14:paraId="38E7D7CA">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成本费用：包括销售费用、管理费用、研发费用和财务费用，反映公司在一定期间内为组织和管理经营活动而发生的各项费用。</w:t>
      </w:r>
    </w:p>
    <w:p w14:paraId="599B1099">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 w:val="0"/>
          <w:bCs/>
          <w:sz w:val="28"/>
          <w:szCs w:val="28"/>
        </w:rPr>
      </w:pPr>
      <w:bookmarkStart w:id="76" w:name="_Toc181971729"/>
      <w:r>
        <w:rPr>
          <w:rFonts w:hint="eastAsia" w:ascii="仿宋_GB2312" w:hAnsi="仿宋_GB2312" w:eastAsia="仿宋_GB2312" w:cs="仿宋_GB2312"/>
          <w:b w:val="0"/>
          <w:bCs/>
          <w:kern w:val="0"/>
          <w:sz w:val="28"/>
          <w:szCs w:val="28"/>
          <w:lang w:val="en-US" w:eastAsia="zh-CN" w:bidi="ar-SA"/>
        </w:rPr>
        <w:t>4.</w:t>
      </w:r>
      <w:r>
        <w:rPr>
          <w:rFonts w:hint="eastAsia" w:ascii="仿宋_GB2312" w:hAnsi="仿宋_GB2312" w:eastAsia="仿宋_GB2312" w:cs="仿宋_GB2312"/>
          <w:b w:val="0"/>
          <w:bCs/>
          <w:sz w:val="28"/>
          <w:szCs w:val="28"/>
        </w:rPr>
        <w:t>研发投入</w:t>
      </w:r>
      <w:bookmarkEnd w:id="76"/>
    </w:p>
    <w:p w14:paraId="5BDF23DE">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可评估和展示公司的研发能力和创新水平。通过统计和分析研发投入的金额、比例以及研发项目的成功率，为管理层提供研发决策支持，优化资源配置。这有助于公司保持技术领先地位，推动公司的可持续发展。</w:t>
      </w:r>
    </w:p>
    <w:p w14:paraId="3FC6C139">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分析组件：</w:t>
      </w:r>
    </w:p>
    <w:p w14:paraId="521DB903">
      <w:pPr>
        <w:widowControl w:val="0"/>
        <w:numPr>
          <w:ilvl w:val="0"/>
          <w:numId w:val="1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研发项目概览：展示公司当前正在进行的研发项目及其进展情况。</w:t>
      </w:r>
    </w:p>
    <w:p w14:paraId="09533ADC">
      <w:pPr>
        <w:widowControl w:val="0"/>
        <w:numPr>
          <w:ilvl w:val="0"/>
          <w:numId w:val="1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研发投入统计：按项目、部门等维度统计研发投入金额和比例。</w:t>
      </w:r>
    </w:p>
    <w:p w14:paraId="59FED53A">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w:t>
      </w:r>
    </w:p>
    <w:p w14:paraId="0B8280F9">
      <w:pPr>
        <w:widowControl w:val="0"/>
        <w:numPr>
          <w:ilvl w:val="0"/>
          <w:numId w:val="11"/>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研发投入总额：公司在一定时期内用于研发活动的总费用。</w:t>
      </w:r>
    </w:p>
    <w:p w14:paraId="375411EC">
      <w:pPr>
        <w:widowControl w:val="0"/>
        <w:numPr>
          <w:ilvl w:val="0"/>
          <w:numId w:val="11"/>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研发投入强度：研发投入总额占营业收入的比例，反映公司对研发的重视程度。</w:t>
      </w:r>
    </w:p>
    <w:p w14:paraId="54F426BF">
      <w:pPr>
        <w:widowControl w:val="0"/>
        <w:numPr>
          <w:ilvl w:val="0"/>
          <w:numId w:val="11"/>
        </w:numPr>
        <w:tabs>
          <w:tab w:val="left" w:pos="630"/>
          <w:tab w:val="left" w:pos="7665"/>
        </w:tabs>
        <w:spacing w:before="0" w:after="0" w:line="576" w:lineRule="exact"/>
        <w:ind w:firstLine="56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bCs/>
          <w:sz w:val="28"/>
          <w:szCs w:val="28"/>
        </w:rPr>
        <w:t>研发项目成功率：成功完成并转化为产品或服务的研发项目比例。</w:t>
      </w:r>
    </w:p>
    <w:p w14:paraId="4142104A">
      <w:pPr>
        <w:widowControl w:val="0"/>
        <w:tabs>
          <w:tab w:val="left" w:pos="630"/>
          <w:tab w:val="left" w:pos="7665"/>
        </w:tabs>
        <w:spacing w:before="0" w:after="0" w:line="576" w:lineRule="exact"/>
        <w:ind w:firstLineChars="200"/>
        <w:jc w:val="both"/>
        <w:rPr>
          <w:rFonts w:hint="eastAsia" w:ascii="仿宋_GB2312" w:hAnsi="仿宋_GB2312" w:eastAsia="仿宋_GB2312" w:cs="仿宋_GB2312"/>
          <w:b w:val="0"/>
          <w:bCs/>
          <w:sz w:val="28"/>
          <w:szCs w:val="28"/>
        </w:rPr>
      </w:pPr>
      <w:bookmarkStart w:id="77" w:name="_Toc181971730"/>
      <w:r>
        <w:rPr>
          <w:rFonts w:hint="eastAsia" w:ascii="仿宋_GB2312" w:hAnsi="仿宋_GB2312" w:eastAsia="仿宋_GB2312" w:cs="仿宋_GB2312"/>
          <w:b w:val="0"/>
          <w:bCs/>
          <w:kern w:val="0"/>
          <w:sz w:val="28"/>
          <w:szCs w:val="28"/>
          <w:lang w:val="en-US" w:eastAsia="zh-CN" w:bidi="ar-SA"/>
        </w:rPr>
        <w:t>5.</w:t>
      </w:r>
      <w:r>
        <w:rPr>
          <w:rFonts w:hint="eastAsia" w:ascii="仿宋_GB2312" w:hAnsi="仿宋_GB2312" w:eastAsia="仿宋_GB2312" w:cs="仿宋_GB2312"/>
          <w:b w:val="0"/>
          <w:bCs/>
          <w:sz w:val="28"/>
          <w:szCs w:val="28"/>
        </w:rPr>
        <w:t>盈利能力</w:t>
      </w:r>
      <w:bookmarkEnd w:id="77"/>
    </w:p>
    <w:p w14:paraId="7EFB09F5">
      <w:pPr>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8"/>
          <w:szCs w:val="28"/>
        </w:rPr>
        <w:t>分析和展示公司的盈利能力指标和趋势，帮助公司评估其盈利水平和盈利能力变化趋势</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可根据业务场景灵活增加盈利能力指标数据，并且可灵活进行指标设置及展示，</w:t>
      </w:r>
      <w:r>
        <w:rPr>
          <w:rFonts w:hint="eastAsia" w:ascii="仿宋_GB2312" w:hAnsi="仿宋_GB2312" w:eastAsia="仿宋_GB2312" w:cs="仿宋_GB2312"/>
          <w:bCs/>
          <w:sz w:val="28"/>
          <w:szCs w:val="28"/>
        </w:rPr>
        <w:t>为管理层提供了盈利决策支持，有助于优化产品结构和市场策略，进而提高公司的整体盈利能力。同时满足了国资委等外部监管机构对公司盈利能力的监管要求。</w:t>
      </w:r>
    </w:p>
    <w:p w14:paraId="1778A62B">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分析组件：</w:t>
      </w:r>
    </w:p>
    <w:p w14:paraId="628C9318">
      <w:pPr>
        <w:widowControl w:val="0"/>
        <w:numPr>
          <w:ilvl w:val="0"/>
          <w:numId w:val="12"/>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利润指标分析：包括毛利率、净利率、营业利润率等关键利润指标。</w:t>
      </w:r>
    </w:p>
    <w:p w14:paraId="2E0B2CD5">
      <w:pPr>
        <w:widowControl w:val="0"/>
        <w:numPr>
          <w:ilvl w:val="0"/>
          <w:numId w:val="12"/>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盈利能力趋势分析：展示公司盈利能力的历史变化趋势。</w:t>
      </w:r>
    </w:p>
    <w:p w14:paraId="5599534C">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w:t>
      </w:r>
    </w:p>
    <w:p w14:paraId="5A961BB9">
      <w:pPr>
        <w:widowControl w:val="0"/>
        <w:numPr>
          <w:ilvl w:val="0"/>
          <w:numId w:val="13"/>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毛利率：营业收入与营业成本的差额占营业收入的比例，反映公司的成本控制能力 和产品定价策略。</w:t>
      </w:r>
    </w:p>
    <w:p w14:paraId="3DEAF6B2">
      <w:pPr>
        <w:widowControl w:val="0"/>
        <w:numPr>
          <w:ilvl w:val="0"/>
          <w:numId w:val="13"/>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净利率：净利润占营业收入的比例，反映公司的整体盈利能力。</w:t>
      </w:r>
    </w:p>
    <w:p w14:paraId="69F0EF37">
      <w:pPr>
        <w:widowControl w:val="0"/>
        <w:numPr>
          <w:ilvl w:val="0"/>
          <w:numId w:val="13"/>
        </w:numPr>
        <w:tabs>
          <w:tab w:val="left" w:pos="630"/>
          <w:tab w:val="left" w:pos="7665"/>
        </w:tabs>
        <w:spacing w:before="0" w:after="0" w:line="576" w:lineRule="exact"/>
        <w:ind w:firstLine="56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bCs/>
          <w:sz w:val="28"/>
          <w:szCs w:val="28"/>
        </w:rPr>
        <w:t>营业利润率：营业利润占营业收入的比例，排除非经常性损益的影响，更准确地反映公司的主营业务盈利能力。</w:t>
      </w:r>
    </w:p>
    <w:p w14:paraId="6DBC0EDB">
      <w:pPr>
        <w:pStyle w:val="37"/>
        <w:widowControl w:val="0"/>
        <w:numPr>
          <w:ilvl w:val="0"/>
          <w:numId w:val="0"/>
        </w:numPr>
        <w:spacing w:before="4" w:after="4" w:line="500" w:lineRule="exact"/>
        <w:ind w:firstLine="560"/>
        <w:rPr>
          <w:rFonts w:hint="eastAsia" w:ascii="仿宋_GB2312" w:hAnsi="仿宋_GB2312" w:eastAsia="仿宋_GB2312" w:cs="仿宋_GB2312"/>
          <w:b w:val="0"/>
          <w:bCs w:val="0"/>
          <w:szCs w:val="28"/>
        </w:rPr>
      </w:pPr>
      <w:bookmarkStart w:id="78" w:name="_Toc181971731"/>
      <w:r>
        <w:rPr>
          <w:rFonts w:hint="eastAsia" w:ascii="仿宋_GB2312" w:hAnsi="仿宋_GB2312" w:eastAsia="仿宋_GB2312" w:cs="仿宋_GB2312"/>
          <w:b w:val="0"/>
          <w:bCs w:val="0"/>
          <w:kern w:val="2"/>
          <w:sz w:val="28"/>
          <w:szCs w:val="28"/>
          <w:lang w:val="en-US" w:eastAsia="zh-CN" w:bidi="ar-SA"/>
        </w:rPr>
        <w:t>6.</w:t>
      </w:r>
      <w:r>
        <w:rPr>
          <w:rFonts w:hint="eastAsia" w:ascii="仿宋_GB2312" w:hAnsi="仿宋_GB2312" w:eastAsia="仿宋_GB2312" w:cs="仿宋_GB2312"/>
          <w:b w:val="0"/>
          <w:bCs w:val="0"/>
          <w:szCs w:val="28"/>
        </w:rPr>
        <w:t>偿债能力</w:t>
      </w:r>
      <w:bookmarkEnd w:id="78"/>
    </w:p>
    <w:p w14:paraId="2CBDE7B3">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评估和展示公司的偿债能力和财务风险水平。通过分析和展示债务结构、资产负债率、流动比率、速动比率等关键指标，为管理层提供债务管理决策支持，优化资本结构。有助于公司保持稳健的财务状况，降低财务风险，进而增强公司的长期稳定发展能力。</w:t>
      </w:r>
    </w:p>
    <w:p w14:paraId="0064DDE9">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分析组件：</w:t>
      </w:r>
    </w:p>
    <w:p w14:paraId="4ED749DE">
      <w:pPr>
        <w:widowControl w:val="0"/>
        <w:numPr>
          <w:ilvl w:val="0"/>
          <w:numId w:val="14"/>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债务结构分析：展示公司的债务总额、债务类型（长期债务、短期债务）及其比例。</w:t>
      </w:r>
    </w:p>
    <w:p w14:paraId="085A35EF">
      <w:pPr>
        <w:widowControl w:val="0"/>
        <w:numPr>
          <w:ilvl w:val="0"/>
          <w:numId w:val="14"/>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偿债能力指标分析：包括资产负债率、流动比率、速动比率等关键偿债能力指标。</w:t>
      </w:r>
    </w:p>
    <w:p w14:paraId="141D6CBE">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w:t>
      </w:r>
    </w:p>
    <w:p w14:paraId="4373D581">
      <w:pPr>
        <w:widowControl w:val="0"/>
        <w:numPr>
          <w:ilvl w:val="0"/>
          <w:numId w:val="15"/>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资产负债率：总负债占总资产的比例，反映公司的财务杠杆水平和偿债能力。</w:t>
      </w:r>
    </w:p>
    <w:p w14:paraId="4C9FFE0B">
      <w:pPr>
        <w:widowControl w:val="0"/>
        <w:numPr>
          <w:ilvl w:val="0"/>
          <w:numId w:val="15"/>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流动比率：流动资产与流动负债的比例，反映公司短期偿债能力。</w:t>
      </w:r>
    </w:p>
    <w:p w14:paraId="752AFE00">
      <w:pPr>
        <w:widowControl w:val="0"/>
        <w:numPr>
          <w:ilvl w:val="0"/>
          <w:numId w:val="15"/>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速动比率：速动资产（流动资产减去存货等变现能力较弱的资产）与流动负债的比例，更准确地反映公司短期偿债能力。</w:t>
      </w:r>
    </w:p>
    <w:p w14:paraId="55AC634D">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 w:val="0"/>
          <w:bCs/>
          <w:sz w:val="28"/>
          <w:szCs w:val="28"/>
        </w:rPr>
      </w:pPr>
      <w:bookmarkStart w:id="79" w:name="_Toc181971732"/>
      <w:r>
        <w:rPr>
          <w:rFonts w:hint="eastAsia" w:ascii="仿宋_GB2312" w:hAnsi="仿宋_GB2312" w:eastAsia="仿宋_GB2312" w:cs="仿宋_GB2312"/>
          <w:b w:val="0"/>
          <w:bCs/>
          <w:kern w:val="0"/>
          <w:sz w:val="28"/>
          <w:szCs w:val="28"/>
          <w:lang w:val="en-US" w:eastAsia="zh-CN" w:bidi="ar-SA"/>
        </w:rPr>
        <w:t>7.</w:t>
      </w:r>
      <w:r>
        <w:rPr>
          <w:rFonts w:hint="eastAsia" w:ascii="仿宋_GB2312" w:hAnsi="仿宋_GB2312" w:eastAsia="仿宋_GB2312" w:cs="仿宋_GB2312"/>
          <w:b w:val="0"/>
          <w:bCs/>
          <w:sz w:val="28"/>
          <w:szCs w:val="28"/>
        </w:rPr>
        <w:t>财务快报分析报告线上化</w:t>
      </w:r>
      <w:bookmarkEnd w:id="79"/>
    </w:p>
    <w:p w14:paraId="4132137B">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通过财务数据分析系统实现报告的实时自动化，确保管理层能够迅速获取到最新的财务数据和分析结果。同时，通过增强数据的透明度和准确性，减少人为干预和错误，使财务信息更加真实可靠。此外，系统内置预警功能，能及时发现潜在的财务风险和问题，为管理层提供及时的风险管理支持。</w:t>
      </w:r>
    </w:p>
    <w:tbl>
      <w:tblPr>
        <w:tblStyle w:val="2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5253"/>
      </w:tblGrid>
      <w:tr w14:paraId="755E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663" w:type="dxa"/>
            <w:noWrap w:val="0"/>
            <w:vAlign w:val="center"/>
          </w:tcPr>
          <w:p w14:paraId="39F0E7E6">
            <w:pPr>
              <w:widowControl w:val="0"/>
              <w:spacing w:line="360" w:lineRule="auto"/>
              <w:jc w:val="center"/>
              <w:rPr>
                <w:rFonts w:hint="eastAsia" w:ascii="仿宋_GB2312" w:hAnsi="仿宋_GB2312" w:eastAsia="仿宋_GB2312" w:cs="仿宋_GB2312"/>
                <w:sz w:val="24"/>
                <w:szCs w:val="24"/>
                <w:shd w:val="clear" w:color="auto" w:fill="FDFDFE"/>
              </w:rPr>
            </w:pPr>
            <w:bookmarkStart w:id="80" w:name="_Hlk178170672"/>
            <w:r>
              <w:rPr>
                <w:rFonts w:hint="eastAsia" w:ascii="仿宋_GB2312" w:hAnsi="仿宋_GB2312" w:eastAsia="仿宋_GB2312" w:cs="仿宋_GB2312"/>
                <w:sz w:val="24"/>
                <w:szCs w:val="24"/>
                <w:shd w:val="clear" w:color="auto" w:fill="FDFDFE"/>
              </w:rPr>
              <w:t>面向省国资委财务快报</w:t>
            </w:r>
          </w:p>
        </w:tc>
        <w:tc>
          <w:tcPr>
            <w:tcW w:w="5417" w:type="dxa"/>
            <w:noWrap w:val="0"/>
            <w:vAlign w:val="center"/>
          </w:tcPr>
          <w:p w14:paraId="4908BDC6">
            <w:pPr>
              <w:widowControl w:val="0"/>
              <w:spacing w:line="360" w:lineRule="auto"/>
              <w:jc w:val="center"/>
              <w:rPr>
                <w:rFonts w:hint="eastAsia" w:ascii="仿宋_GB2312" w:hAnsi="仿宋_GB2312" w:eastAsia="仿宋_GB2312" w:cs="仿宋_GB2312"/>
                <w:sz w:val="24"/>
                <w:szCs w:val="24"/>
                <w:shd w:val="clear" w:color="auto" w:fill="FDFDFE"/>
              </w:rPr>
            </w:pPr>
            <w:bookmarkStart w:id="81" w:name="_MON_1788783319"/>
            <w:bookmarkEnd w:id="81"/>
            <w:r>
              <w:rPr>
                <w:rFonts w:hint="eastAsia" w:ascii="仿宋_GB2312" w:hAnsi="仿宋_GB2312" w:eastAsia="仿宋_GB2312" w:cs="仿宋_GB2312"/>
                <w:sz w:val="24"/>
                <w:szCs w:val="24"/>
                <w:shd w:val="clear" w:color="auto" w:fill="FDFDFE"/>
              </w:rPr>
              <w:object>
                <v:shape id="_x0000_i1025" o:spt="75" type="#_x0000_t75" style="height:54pt;width:78pt;" o:ole="t" filled="f" o:preferrelative="t" stroked="f" coordsize="21600,21600">
                  <v:path/>
                  <v:fill on="f" focussize="0,0"/>
                  <v:stroke on="f" joinstyle="miter"/>
                  <v:imagedata r:id="rId22" o:title=""/>
                  <o:lock v:ext="edit" aspectratio="t"/>
                  <w10:wrap type="none"/>
                  <w10:anchorlock/>
                </v:shape>
                <o:OLEObject Type="Embed" ProgID="Word.Document.12" ShapeID="_x0000_i1025" DrawAspect="Icon" ObjectID="_1468075725" r:id="rId21">
                  <o:LockedField>false</o:LockedField>
                </o:OLEObject>
              </w:object>
            </w:r>
          </w:p>
        </w:tc>
      </w:tr>
      <w:bookmarkEnd w:id="80"/>
    </w:tbl>
    <w:p w14:paraId="6A6703F9">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分析组件：</w:t>
      </w:r>
    </w:p>
    <w:p w14:paraId="0EE14459">
      <w:pPr>
        <w:widowControl w:val="0"/>
        <w:numPr>
          <w:ilvl w:val="0"/>
          <w:numId w:val="16"/>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财务报表概览：包括资产负债表、利润表、现金流量表等关键报表的展示。</w:t>
      </w:r>
    </w:p>
    <w:p w14:paraId="2CD50564">
      <w:pPr>
        <w:widowControl w:val="0"/>
        <w:numPr>
          <w:ilvl w:val="0"/>
          <w:numId w:val="16"/>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关键指标分析：如总资产、净资产、营业收入、净利润等。</w:t>
      </w:r>
    </w:p>
    <w:p w14:paraId="0925725A">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w:t>
      </w:r>
    </w:p>
    <w:p w14:paraId="2406A251">
      <w:pPr>
        <w:widowControl w:val="0"/>
        <w:numPr>
          <w:ilvl w:val="0"/>
          <w:numId w:val="1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总资产：反映公司规模的重要指标。</w:t>
      </w:r>
    </w:p>
    <w:p w14:paraId="17D1602A">
      <w:pPr>
        <w:widowControl w:val="0"/>
        <w:numPr>
          <w:ilvl w:val="0"/>
          <w:numId w:val="1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净资产：衡量公司所有者权益的总额。</w:t>
      </w:r>
    </w:p>
    <w:p w14:paraId="0BE434DB">
      <w:pPr>
        <w:widowControl w:val="0"/>
        <w:numPr>
          <w:ilvl w:val="0"/>
          <w:numId w:val="1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营业收入：公司一定时期内销售商品或提供劳务所获得的收入总额。</w:t>
      </w:r>
    </w:p>
    <w:p w14:paraId="60CA4EC8">
      <w:pPr>
        <w:widowControl w:val="0"/>
        <w:numPr>
          <w:ilvl w:val="0"/>
          <w:numId w:val="17"/>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净利润：公司当期利润总额减去所得税后的金额，反映公司的盈利能力。</w:t>
      </w:r>
    </w:p>
    <w:tbl>
      <w:tblPr>
        <w:tblStyle w:val="2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5253"/>
      </w:tblGrid>
      <w:tr w14:paraId="4D79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663" w:type="dxa"/>
            <w:noWrap w:val="0"/>
            <w:vAlign w:val="center"/>
          </w:tcPr>
          <w:p w14:paraId="4B6B3BB3">
            <w:pPr>
              <w:widowControl w:val="0"/>
              <w:spacing w:line="360" w:lineRule="auto"/>
              <w:jc w:val="center"/>
              <w:rPr>
                <w:rFonts w:hint="eastAsia" w:ascii="仿宋_GB2312" w:hAnsi="仿宋_GB2312" w:eastAsia="仿宋_GB2312" w:cs="仿宋_GB2312"/>
                <w:sz w:val="24"/>
                <w:szCs w:val="24"/>
                <w:shd w:val="clear" w:color="auto" w:fill="FDFDFE"/>
              </w:rPr>
            </w:pPr>
            <w:r>
              <w:rPr>
                <w:rFonts w:hint="eastAsia" w:ascii="仿宋_GB2312" w:hAnsi="仿宋_GB2312" w:eastAsia="仿宋_GB2312" w:cs="仿宋_GB2312"/>
                <w:sz w:val="24"/>
                <w:szCs w:val="24"/>
                <w:shd w:val="clear" w:color="auto" w:fill="FDFDFE"/>
              </w:rPr>
              <w:t>面向集团内部</w:t>
            </w:r>
          </w:p>
        </w:tc>
        <w:tc>
          <w:tcPr>
            <w:tcW w:w="5417" w:type="dxa"/>
            <w:noWrap w:val="0"/>
            <w:vAlign w:val="center"/>
          </w:tcPr>
          <w:p w14:paraId="54F52AEF">
            <w:pPr>
              <w:widowControl w:val="0"/>
              <w:spacing w:line="360" w:lineRule="auto"/>
              <w:jc w:val="center"/>
              <w:rPr>
                <w:rFonts w:hint="eastAsia" w:ascii="仿宋_GB2312" w:hAnsi="仿宋_GB2312" w:eastAsia="仿宋_GB2312" w:cs="仿宋_GB2312"/>
                <w:sz w:val="24"/>
                <w:szCs w:val="24"/>
                <w:shd w:val="clear" w:color="auto" w:fill="FDFDFE"/>
              </w:rPr>
            </w:pPr>
            <w:bookmarkStart w:id="82" w:name="_MON_1788783594"/>
            <w:bookmarkEnd w:id="82"/>
            <w:r>
              <w:rPr>
                <w:rFonts w:hint="eastAsia" w:ascii="仿宋_GB2312" w:hAnsi="仿宋_GB2312" w:eastAsia="仿宋_GB2312" w:cs="仿宋_GB2312"/>
                <w:sz w:val="24"/>
                <w:szCs w:val="24"/>
                <w:shd w:val="clear" w:color="auto" w:fill="FDFDFE"/>
              </w:rPr>
              <w:object>
                <v:shape id="_x0000_i1026" o:spt="75" type="#_x0000_t75" style="height:54pt;width:78pt;" o:ole="t" filled="f" o:preferrelative="t" stroked="f" coordsize="21600,21600">
                  <v:path/>
                  <v:fill on="f" focussize="0,0"/>
                  <v:stroke on="f" joinstyle="miter"/>
                  <v:imagedata r:id="rId24" o:title=""/>
                  <o:lock v:ext="edit" aspectratio="t"/>
                  <w10:wrap type="none"/>
                  <w10:anchorlock/>
                </v:shape>
                <o:OLEObject Type="Embed" ProgID="Word.Document.8" ShapeID="_x0000_i1026" DrawAspect="Icon" ObjectID="_1468075726" r:id="rId23">
                  <o:LockedField>false</o:LockedField>
                </o:OLEObject>
              </w:object>
            </w:r>
          </w:p>
        </w:tc>
      </w:tr>
    </w:tbl>
    <w:p w14:paraId="7088F031">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分析组件：</w:t>
      </w:r>
    </w:p>
    <w:p w14:paraId="1E99A9EE">
      <w:pPr>
        <w:widowControl w:val="0"/>
        <w:numPr>
          <w:ilvl w:val="0"/>
          <w:numId w:val="1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财务快报概览：实时展示公司最新的财务快报数据，包括关键财务指标和变动趋势。支持多期数据对比，帮助用户快速了解财务状况的变化。</w:t>
      </w:r>
    </w:p>
    <w:p w14:paraId="4105208E">
      <w:pPr>
        <w:widowControl w:val="0"/>
        <w:numPr>
          <w:ilvl w:val="0"/>
          <w:numId w:val="1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核心指标分析：针对财务快报中的核心指标（如营业收入、净利润、总资产等）进行深入分析，展示其绝对值和变动率。提供图表展示，如折线图、柱状图等，直观反映指标的变化趋势。</w:t>
      </w:r>
    </w:p>
    <w:p w14:paraId="56161164">
      <w:pPr>
        <w:widowControl w:val="0"/>
        <w:numPr>
          <w:ilvl w:val="0"/>
          <w:numId w:val="1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异常预警：设定预警阈值，对财务快报中的异常数据进行自动识别和预警。提醒用户关注潜在风险和问题，及时采取措施应对。</w:t>
      </w:r>
    </w:p>
    <w:p w14:paraId="705DE74F">
      <w:pPr>
        <w:widowControl w:val="0"/>
        <w:numPr>
          <w:ilvl w:val="0"/>
          <w:numId w:val="1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数据钻取与联动：支持用户对感兴趣的数据点进行钻取，查看更详细的数据和来源。</w:t>
      </w:r>
    </w:p>
    <w:p w14:paraId="595DB67F">
      <w:pPr>
        <w:widowControl w:val="0"/>
        <w:numPr>
          <w:ilvl w:val="0"/>
          <w:numId w:val="1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实现数据间的联动分析，帮助用户从多个维度了解财务状况。</w:t>
      </w:r>
    </w:p>
    <w:p w14:paraId="1F611F2B">
      <w:pPr>
        <w:widowControl w:val="0"/>
        <w:numPr>
          <w:ilvl w:val="0"/>
          <w:numId w:val="18"/>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报告生成与分享：bi自动生成财务快报分析报告，包含关键指标分析、趋势预测和异常预警等内容。支持报告导出和在线分享功能，方便用户与团队成员或上级部门沟通汇报。</w:t>
      </w:r>
    </w:p>
    <w:p w14:paraId="0D027590">
      <w:pPr>
        <w:widowControl w:val="0"/>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核心指标</w:t>
      </w:r>
    </w:p>
    <w:p w14:paraId="0CDF1F6C">
      <w:pPr>
        <w:widowControl w:val="0"/>
        <w:numPr>
          <w:ilvl w:val="0"/>
          <w:numId w:val="19"/>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营业收入：反映公司在一定时期内销售商品或提供劳务所获得的收入总额。</w:t>
      </w:r>
    </w:p>
    <w:p w14:paraId="6A694591">
      <w:pPr>
        <w:widowControl w:val="0"/>
        <w:numPr>
          <w:ilvl w:val="0"/>
          <w:numId w:val="19"/>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净利润：公司当期利润总额减去所得税后的金额，反映公司的盈利能力。</w:t>
      </w:r>
    </w:p>
    <w:p w14:paraId="048BA7B4">
      <w:pPr>
        <w:widowControl w:val="0"/>
        <w:numPr>
          <w:ilvl w:val="0"/>
          <w:numId w:val="19"/>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总资产：公司拥有或控制的全部资产，包括流动资产、长期投资、固定资产等。</w:t>
      </w:r>
    </w:p>
    <w:p w14:paraId="0ACE5E10">
      <w:pPr>
        <w:widowControl w:val="0"/>
        <w:numPr>
          <w:ilvl w:val="0"/>
          <w:numId w:val="19"/>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流动比率：流动资产与流动负债的比例，反映公司短期偿债能力。</w:t>
      </w:r>
    </w:p>
    <w:p w14:paraId="69E94581">
      <w:pPr>
        <w:widowControl w:val="0"/>
        <w:numPr>
          <w:ilvl w:val="0"/>
          <w:numId w:val="19"/>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速动比率：速动资产（流动资产减去存货等变现能力较弱的资产）与流动负债的比例，更准确地反映公司短期偿债能力。</w:t>
      </w:r>
    </w:p>
    <w:p w14:paraId="0C553DD2">
      <w:pPr>
        <w:numPr>
          <w:ilvl w:val="0"/>
          <w:numId w:val="19"/>
        </w:numPr>
        <w:tabs>
          <w:tab w:val="left" w:pos="630"/>
          <w:tab w:val="left" w:pos="7665"/>
        </w:tabs>
        <w:spacing w:before="4" w:after="4" w:line="500" w:lineRule="exact"/>
        <w:ind w:firstLine="560" w:firstLineChars="200"/>
        <w:outlineLvl w:val="9"/>
        <w:rPr>
          <w:rFonts w:hint="eastAsia"/>
        </w:rPr>
      </w:pPr>
      <w:r>
        <w:rPr>
          <w:rFonts w:hint="eastAsia" w:ascii="仿宋_GB2312" w:hAnsi="仿宋_GB2312" w:eastAsia="仿宋_GB2312" w:cs="仿宋_GB2312"/>
          <w:bCs/>
          <w:sz w:val="28"/>
          <w:szCs w:val="28"/>
        </w:rPr>
        <w:t>资产负债率：总负债占总资产的比例，反映公司的财务杠杆水平和长期偿债能力。</w:t>
      </w:r>
    </w:p>
    <w:p w14:paraId="2EB78D1C">
      <w:pPr>
        <w:widowControl w:val="0"/>
        <w:numPr>
          <w:ilvl w:val="0"/>
          <w:numId w:val="0"/>
        </w:numPr>
        <w:spacing w:before="0" w:beforeLines="0" w:after="0" w:afterLines="0" w:line="576" w:lineRule="exact"/>
        <w:ind w:firstLine="640" w:firstLineChars="200"/>
        <w:jc w:val="both"/>
        <w:outlineLvl w:val="1"/>
        <w:rPr>
          <w:rFonts w:hint="eastAsia" w:ascii="黑体" w:hAnsi="宋体" w:eastAsia="黑体" w:cs="黑体"/>
          <w:color w:val="000000"/>
          <w:kern w:val="2"/>
          <w:sz w:val="32"/>
          <w:szCs w:val="32"/>
          <w:highlight w:val="none"/>
          <w:lang w:bidi="ar"/>
        </w:rPr>
      </w:pPr>
      <w:bookmarkStart w:id="83" w:name="_Toc198856100"/>
      <w:r>
        <w:rPr>
          <w:rFonts w:hint="eastAsia" w:ascii="黑体" w:hAnsi="宋体" w:eastAsia="黑体" w:cs="黑体"/>
          <w:color w:val="000000"/>
          <w:kern w:val="2"/>
          <w:sz w:val="32"/>
          <w:szCs w:val="32"/>
          <w:lang w:val="en-US" w:eastAsia="zh-CN" w:bidi="ar"/>
        </w:rPr>
        <w:t>四、</w:t>
      </w:r>
      <w:r>
        <w:rPr>
          <w:rFonts w:hint="eastAsia" w:ascii="黑体" w:hAnsi="宋体" w:eastAsia="黑体" w:cs="黑体"/>
          <w:color w:val="000000"/>
          <w:kern w:val="2"/>
          <w:sz w:val="32"/>
          <w:szCs w:val="32"/>
          <w:highlight w:val="none"/>
          <w:lang w:bidi="ar"/>
        </w:rPr>
        <w:t>实施要求</w:t>
      </w:r>
      <w:bookmarkEnd w:id="83"/>
    </w:p>
    <w:p w14:paraId="101B0198">
      <w:pPr>
        <w:widowControl w:val="0"/>
        <w:tabs>
          <w:tab w:val="left" w:pos="630"/>
          <w:tab w:val="left" w:pos="7665"/>
        </w:tabs>
        <w:spacing w:before="0" w:beforeLines="0" w:after="0" w:afterLines="0"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根据本项目的实际情况，编制总进度规划，做出详细的执行与控制措施，确保本次项目按照采购文件要求的时限完成</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过程要对</w:t>
      </w:r>
      <w:r>
        <w:rPr>
          <w:rFonts w:hint="eastAsia" w:ascii="仿宋_GB2312" w:hAnsi="仿宋_GB2312" w:eastAsia="仿宋_GB2312" w:cs="仿宋_GB2312"/>
          <w:bCs/>
          <w:sz w:val="28"/>
          <w:szCs w:val="28"/>
        </w:rPr>
        <w:t>进度情况</w:t>
      </w:r>
      <w:r>
        <w:rPr>
          <w:rFonts w:hint="eastAsia" w:ascii="仿宋_GB2312" w:hAnsi="仿宋_GB2312" w:eastAsia="仿宋_GB2312" w:cs="仿宋_GB2312"/>
          <w:bCs/>
          <w:sz w:val="28"/>
          <w:szCs w:val="28"/>
          <w:lang w:val="en-US" w:eastAsia="zh-CN"/>
        </w:rPr>
        <w:t>进行实时</w:t>
      </w:r>
      <w:r>
        <w:rPr>
          <w:rFonts w:hint="eastAsia" w:ascii="仿宋_GB2312" w:hAnsi="仿宋_GB2312" w:eastAsia="仿宋_GB2312" w:cs="仿宋_GB2312"/>
          <w:bCs/>
          <w:sz w:val="28"/>
          <w:szCs w:val="28"/>
        </w:rPr>
        <w:t>把控，确保</w:t>
      </w:r>
      <w:r>
        <w:rPr>
          <w:rFonts w:hint="eastAsia" w:ascii="仿宋_GB2312" w:hAnsi="仿宋_GB2312" w:eastAsia="仿宋_GB2312" w:cs="仿宋_GB2312"/>
          <w:bCs/>
          <w:sz w:val="28"/>
          <w:szCs w:val="28"/>
          <w:lang w:val="en-US" w:eastAsia="zh-CN"/>
        </w:rPr>
        <w:t>产品</w:t>
      </w:r>
      <w:r>
        <w:rPr>
          <w:rFonts w:hint="eastAsia" w:ascii="仿宋_GB2312" w:hAnsi="仿宋_GB2312" w:eastAsia="仿宋_GB2312" w:cs="仿宋_GB2312"/>
          <w:bCs/>
          <w:sz w:val="28"/>
          <w:szCs w:val="28"/>
        </w:rPr>
        <w:t>质量和实时进度能及时交付。</w:t>
      </w:r>
      <w:r>
        <w:rPr>
          <w:rFonts w:hint="eastAsia" w:ascii="仿宋_GB2312" w:hAnsi="仿宋_GB2312" w:eastAsia="仿宋_GB2312" w:cs="仿宋_GB2312"/>
          <w:bCs/>
          <w:sz w:val="28"/>
          <w:szCs w:val="28"/>
          <w:lang w:val="en-US" w:eastAsia="zh-CN"/>
        </w:rPr>
        <w:t>主要包括</w:t>
      </w:r>
      <w:r>
        <w:rPr>
          <w:rFonts w:hint="eastAsia" w:ascii="仿宋_GB2312" w:hAnsi="仿宋_GB2312" w:eastAsia="仿宋_GB2312" w:cs="仿宋_GB2312"/>
          <w:bCs/>
          <w:sz w:val="28"/>
          <w:szCs w:val="28"/>
        </w:rPr>
        <w:t>：</w:t>
      </w:r>
    </w:p>
    <w:p w14:paraId="15900524">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bidi="ar-SA"/>
        </w:rPr>
        <w:t>（一）</w:t>
      </w:r>
      <w:r>
        <w:rPr>
          <w:rFonts w:hint="eastAsia" w:ascii="仿宋_GB2312" w:hAnsi="仿宋_GB2312" w:eastAsia="仿宋_GB2312" w:cs="仿宋_GB2312"/>
          <w:bCs/>
          <w:sz w:val="28"/>
          <w:szCs w:val="28"/>
        </w:rPr>
        <w:t>对项目建设的全生命周期进行科学、有效的管理；</w:t>
      </w:r>
      <w:r>
        <w:rPr>
          <w:rFonts w:hint="eastAsia" w:ascii="仿宋_GB2312" w:hAnsi="仿宋_GB2312" w:eastAsia="仿宋_GB2312" w:cs="仿宋_GB2312"/>
          <w:b w:val="0"/>
          <w:bCs/>
          <w:sz w:val="28"/>
          <w:szCs w:val="28"/>
        </w:rPr>
        <w:t>需要制定合理的实施计划，配备经验丰富的项目团队，按项目进度的制定相应的人力资源计划；</w:t>
      </w:r>
    </w:p>
    <w:p w14:paraId="4F2B5A78">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bidi="ar-SA"/>
        </w:rPr>
        <w:t>（二）</w:t>
      </w:r>
      <w:r>
        <w:rPr>
          <w:rFonts w:hint="eastAsia" w:ascii="仿宋_GB2312" w:hAnsi="仿宋_GB2312" w:eastAsia="仿宋_GB2312" w:cs="仿宋_GB2312"/>
          <w:b w:val="0"/>
          <w:bCs/>
          <w:sz w:val="28"/>
          <w:szCs w:val="28"/>
        </w:rPr>
        <w:t>需要制定科学有效的项目管理方案，配备有同类项目数据分析平台实施项目经验的管理人员；</w:t>
      </w:r>
    </w:p>
    <w:p w14:paraId="184FEE6C">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bidi="ar-SA"/>
        </w:rPr>
        <w:t>（三）</w:t>
      </w:r>
      <w:r>
        <w:rPr>
          <w:rFonts w:hint="eastAsia" w:ascii="仿宋_GB2312" w:hAnsi="仿宋_GB2312" w:eastAsia="仿宋_GB2312" w:cs="仿宋_GB2312"/>
          <w:b w:val="0"/>
          <w:bCs/>
          <w:sz w:val="28"/>
          <w:szCs w:val="28"/>
        </w:rPr>
        <w:t>需要提供快速上线方案。要求</w:t>
      </w:r>
      <w:r>
        <w:rPr>
          <w:rFonts w:hint="eastAsia" w:ascii="仿宋_GB2312" w:hAnsi="仿宋_GB2312" w:eastAsia="仿宋_GB2312" w:cs="仿宋_GB2312"/>
          <w:b w:val="0"/>
          <w:bCs/>
          <w:sz w:val="28"/>
          <w:szCs w:val="28"/>
          <w:lang w:val="en-US" w:eastAsia="zh-CN"/>
        </w:rPr>
        <w:t>响应人</w:t>
      </w:r>
      <w:r>
        <w:rPr>
          <w:rFonts w:hint="eastAsia" w:ascii="仿宋_GB2312" w:hAnsi="仿宋_GB2312" w:eastAsia="仿宋_GB2312" w:cs="仿宋_GB2312"/>
          <w:b w:val="0"/>
          <w:bCs/>
          <w:sz w:val="28"/>
          <w:szCs w:val="28"/>
        </w:rPr>
        <w:t>在充分评估各方面因素的基础上，尽量用较短时间内按照进度要求实现系统分阶段快速上线；</w:t>
      </w:r>
    </w:p>
    <w:p w14:paraId="4160CB9B">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
          <w:bCs w:val="0"/>
          <w:sz w:val="28"/>
          <w:szCs w:val="28"/>
        </w:rPr>
      </w:pPr>
      <w:r>
        <w:rPr>
          <w:rFonts w:hint="eastAsia" w:ascii="仿宋_GB2312" w:hAnsi="仿宋_GB2312" w:eastAsia="仿宋_GB2312" w:cs="仿宋_GB2312"/>
          <w:b w:val="0"/>
          <w:bCs/>
          <w:sz w:val="28"/>
          <w:szCs w:val="28"/>
          <w:lang w:val="en-US" w:eastAsia="zh-CN" w:bidi="ar-SA"/>
        </w:rPr>
        <w:t>（四）</w:t>
      </w:r>
      <w:r>
        <w:rPr>
          <w:rFonts w:hint="eastAsia" w:ascii="仿宋_GB2312" w:hAnsi="仿宋_GB2312" w:eastAsia="仿宋_GB2312" w:cs="仿宋_GB2312"/>
          <w:b w:val="0"/>
          <w:bCs/>
          <w:sz w:val="28"/>
          <w:szCs w:val="28"/>
        </w:rPr>
        <w:t>需要对项目进行风险控制，提供风险控制方案，对项目潜在问题和风险提前预判和提出解决思路。以及提供相应的应急方案。</w:t>
      </w:r>
    </w:p>
    <w:p w14:paraId="3AF2B866">
      <w:pPr>
        <w:widowControl w:val="0"/>
        <w:numPr>
          <w:ilvl w:val="0"/>
          <w:numId w:val="0"/>
        </w:numPr>
        <w:spacing w:before="0" w:beforeLines="0" w:after="0" w:afterLines="0" w:line="576" w:lineRule="exact"/>
        <w:ind w:firstLine="640" w:firstLineChars="200"/>
        <w:jc w:val="both"/>
        <w:outlineLvl w:val="1"/>
        <w:rPr>
          <w:rFonts w:hint="eastAsia" w:ascii="黑体" w:hAnsi="宋体" w:eastAsia="黑体" w:cs="黑体"/>
          <w:color w:val="000000"/>
          <w:kern w:val="2"/>
          <w:sz w:val="32"/>
          <w:szCs w:val="32"/>
          <w:highlight w:val="none"/>
          <w:lang w:bidi="ar"/>
        </w:rPr>
      </w:pPr>
      <w:bookmarkStart w:id="84" w:name="_Toc198856101"/>
      <w:r>
        <w:rPr>
          <w:rFonts w:hint="eastAsia" w:ascii="黑体" w:hAnsi="宋体" w:eastAsia="黑体" w:cs="黑体"/>
          <w:color w:val="000000"/>
          <w:kern w:val="2"/>
          <w:sz w:val="32"/>
          <w:szCs w:val="32"/>
          <w:lang w:val="en-US" w:eastAsia="zh-CN" w:bidi="ar"/>
        </w:rPr>
        <w:t>五、</w:t>
      </w:r>
      <w:r>
        <w:rPr>
          <w:rFonts w:hint="eastAsia" w:ascii="黑体" w:hAnsi="宋体" w:eastAsia="黑体" w:cs="黑体"/>
          <w:color w:val="000000"/>
          <w:kern w:val="2"/>
          <w:sz w:val="32"/>
          <w:szCs w:val="32"/>
          <w:highlight w:val="none"/>
          <w:lang w:bidi="ar"/>
        </w:rPr>
        <w:t>售后服务</w:t>
      </w:r>
      <w:bookmarkEnd w:id="84"/>
    </w:p>
    <w:p w14:paraId="5583EF6C">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bidi="ar-SA"/>
        </w:rPr>
        <w:t>（一）</w:t>
      </w:r>
      <w:r>
        <w:rPr>
          <w:rFonts w:hint="eastAsia" w:ascii="仿宋_GB2312" w:hAnsi="仿宋_GB2312" w:eastAsia="仿宋_GB2312" w:cs="仿宋_GB2312"/>
          <w:bCs/>
          <w:sz w:val="28"/>
          <w:szCs w:val="28"/>
        </w:rPr>
        <w:t>验收通过后，提供1年免费质量保证期。</w:t>
      </w:r>
    </w:p>
    <w:p w14:paraId="68B9B680">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bidi="ar-SA"/>
        </w:rPr>
        <w:t>（二）</w:t>
      </w:r>
      <w:r>
        <w:rPr>
          <w:rFonts w:hint="eastAsia" w:ascii="仿宋_GB2312" w:hAnsi="仿宋_GB2312" w:eastAsia="仿宋_GB2312" w:cs="仿宋_GB2312"/>
          <w:bCs/>
          <w:sz w:val="28"/>
          <w:szCs w:val="28"/>
        </w:rPr>
        <w:t>质量保证期内供应商应至少提供以下服务，期间所产生费用均由</w:t>
      </w:r>
      <w:r>
        <w:rPr>
          <w:rFonts w:hint="eastAsia" w:ascii="仿宋_GB2312" w:hAnsi="仿宋_GB2312" w:eastAsia="仿宋_GB2312" w:cs="仿宋_GB2312"/>
          <w:bCs/>
          <w:sz w:val="28"/>
          <w:szCs w:val="28"/>
          <w:lang w:val="en-US" w:eastAsia="zh-CN"/>
        </w:rPr>
        <w:t>成交供应商</w:t>
      </w:r>
      <w:r>
        <w:rPr>
          <w:rFonts w:hint="eastAsia" w:ascii="仿宋_GB2312" w:hAnsi="仿宋_GB2312" w:eastAsia="仿宋_GB2312" w:cs="仿宋_GB2312"/>
          <w:bCs/>
          <w:sz w:val="28"/>
          <w:szCs w:val="28"/>
        </w:rPr>
        <w:t>负担：</w:t>
      </w:r>
    </w:p>
    <w:p w14:paraId="2BA67663">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bidi="ar-SA"/>
        </w:rPr>
        <w:t>1．</w:t>
      </w:r>
      <w:r>
        <w:rPr>
          <w:rFonts w:hint="eastAsia" w:ascii="仿宋_GB2312" w:hAnsi="仿宋_GB2312" w:eastAsia="仿宋_GB2312" w:cs="仿宋_GB2312"/>
          <w:bCs/>
          <w:sz w:val="28"/>
          <w:szCs w:val="28"/>
        </w:rPr>
        <w:t>用户使用支持。</w:t>
      </w:r>
      <w:r>
        <w:rPr>
          <w:rFonts w:hint="eastAsia" w:ascii="仿宋_GB2312" w:hAnsi="仿宋_GB2312" w:eastAsia="仿宋_GB2312" w:cs="仿宋_GB2312"/>
          <w:bCs/>
          <w:sz w:val="28"/>
          <w:szCs w:val="28"/>
          <w:lang w:val="en-US" w:eastAsia="zh-CN"/>
        </w:rPr>
        <w:t>响应人</w:t>
      </w:r>
      <w:r>
        <w:rPr>
          <w:rFonts w:hint="eastAsia" w:ascii="仿宋_GB2312" w:hAnsi="仿宋_GB2312" w:eastAsia="仿宋_GB2312" w:cs="仿宋_GB2312"/>
          <w:bCs/>
          <w:sz w:val="28"/>
          <w:szCs w:val="28"/>
        </w:rPr>
        <w:t>就</w:t>
      </w:r>
      <w:r>
        <w:rPr>
          <w:rFonts w:hint="eastAsia" w:ascii="仿宋_GB2312" w:hAnsi="仿宋_GB2312" w:eastAsia="仿宋_GB2312" w:cs="仿宋_GB2312"/>
          <w:bCs/>
          <w:sz w:val="28"/>
          <w:szCs w:val="28"/>
          <w:lang w:val="en-US" w:eastAsia="zh-CN"/>
        </w:rPr>
        <w:t>采购人</w:t>
      </w:r>
      <w:r>
        <w:rPr>
          <w:rFonts w:hint="eastAsia" w:ascii="仿宋_GB2312" w:hAnsi="仿宋_GB2312" w:eastAsia="仿宋_GB2312" w:cs="仿宋_GB2312"/>
          <w:bCs/>
          <w:sz w:val="28"/>
          <w:szCs w:val="28"/>
        </w:rPr>
        <w:t>在使用或操作</w:t>
      </w:r>
      <w:r>
        <w:rPr>
          <w:rFonts w:hint="eastAsia" w:ascii="仿宋_GB2312" w:hAnsi="仿宋_GB2312" w:eastAsia="仿宋_GB2312" w:cs="仿宋_GB2312"/>
          <w:bCs/>
          <w:sz w:val="28"/>
          <w:szCs w:val="28"/>
          <w:lang w:val="en-US" w:eastAsia="zh-CN"/>
        </w:rPr>
        <w:t>响应人</w:t>
      </w:r>
      <w:r>
        <w:rPr>
          <w:rFonts w:hint="eastAsia" w:ascii="仿宋_GB2312" w:hAnsi="仿宋_GB2312" w:eastAsia="仿宋_GB2312" w:cs="仿宋_GB2312"/>
          <w:bCs/>
          <w:sz w:val="28"/>
          <w:szCs w:val="28"/>
        </w:rPr>
        <w:t>所负责实施的软件时所遇到的任何问题，提供及时地反馈、解答，并在处理问题过程中通过加强整理用户手册、软件系统操作使用等方式提高用户的应用水平。</w:t>
      </w:r>
    </w:p>
    <w:p w14:paraId="0477BFCB">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bidi="ar-SA"/>
        </w:rPr>
        <w:t>2．</w:t>
      </w:r>
      <w:r>
        <w:rPr>
          <w:rFonts w:hint="eastAsia" w:ascii="仿宋_GB2312" w:hAnsi="仿宋_GB2312" w:eastAsia="仿宋_GB2312" w:cs="仿宋_GB2312"/>
          <w:bCs/>
          <w:sz w:val="28"/>
          <w:szCs w:val="28"/>
        </w:rPr>
        <w:t>技术支持服务。对</w:t>
      </w:r>
      <w:r>
        <w:rPr>
          <w:rFonts w:hint="eastAsia" w:ascii="仿宋_GB2312" w:hAnsi="仿宋_GB2312" w:eastAsia="仿宋_GB2312" w:cs="仿宋_GB2312"/>
          <w:bCs/>
          <w:sz w:val="28"/>
          <w:szCs w:val="28"/>
          <w:lang w:val="en-US" w:eastAsia="zh-CN"/>
        </w:rPr>
        <w:t>采购人</w:t>
      </w:r>
      <w:r>
        <w:rPr>
          <w:rFonts w:hint="eastAsia" w:ascii="仿宋_GB2312" w:hAnsi="仿宋_GB2312" w:eastAsia="仿宋_GB2312" w:cs="仿宋_GB2312"/>
          <w:bCs/>
          <w:sz w:val="28"/>
          <w:szCs w:val="28"/>
        </w:rPr>
        <w:t>项目建设中与</w:t>
      </w:r>
      <w:r>
        <w:rPr>
          <w:rFonts w:hint="eastAsia" w:ascii="仿宋_GB2312" w:hAnsi="仿宋_GB2312" w:eastAsia="仿宋_GB2312" w:cs="仿宋_GB2312"/>
          <w:bCs/>
          <w:sz w:val="28"/>
          <w:szCs w:val="28"/>
          <w:lang w:val="en-US" w:eastAsia="zh-CN"/>
        </w:rPr>
        <w:t>响应人</w:t>
      </w:r>
      <w:r>
        <w:rPr>
          <w:rFonts w:hint="eastAsia" w:ascii="仿宋_GB2312" w:hAnsi="仿宋_GB2312" w:eastAsia="仿宋_GB2312" w:cs="仿宋_GB2312"/>
          <w:bCs/>
          <w:sz w:val="28"/>
          <w:szCs w:val="28"/>
        </w:rPr>
        <w:t>实施的软件有关联关系的其他系统升级、变更等提供相应的配合支持服务；根据用户需要，提供系统迁移、数据迁移等专项服务；当</w:t>
      </w:r>
      <w:r>
        <w:rPr>
          <w:rFonts w:hint="eastAsia" w:ascii="仿宋_GB2312" w:hAnsi="仿宋_GB2312" w:eastAsia="仿宋_GB2312" w:cs="仿宋_GB2312"/>
          <w:bCs/>
          <w:sz w:val="28"/>
          <w:szCs w:val="28"/>
          <w:lang w:val="en-US" w:eastAsia="zh-CN"/>
        </w:rPr>
        <w:t>采购人</w:t>
      </w:r>
      <w:r>
        <w:rPr>
          <w:rFonts w:hint="eastAsia" w:ascii="仿宋_GB2312" w:hAnsi="仿宋_GB2312" w:eastAsia="仿宋_GB2312" w:cs="仿宋_GB2312"/>
          <w:bCs/>
          <w:sz w:val="28"/>
          <w:szCs w:val="28"/>
        </w:rPr>
        <w:t>系统运行环境发生变动时（如主机更新、数据库软件更新以及其他相关变动）影响到本系统使用，提供现场服务协助支持。</w:t>
      </w:r>
    </w:p>
    <w:p w14:paraId="09FDC413">
      <w:pPr>
        <w:widowControl w:val="0"/>
        <w:numPr>
          <w:ilvl w:val="0"/>
          <w:numId w:val="0"/>
        </w:numPr>
        <w:tabs>
          <w:tab w:val="left" w:pos="630"/>
          <w:tab w:val="left" w:pos="7665"/>
        </w:tabs>
        <w:spacing w:before="0" w:beforeLines="0" w:after="0" w:afterLines="0" w:line="576" w:lineRule="exact"/>
        <w:ind w:left="0" w:leftChars="0"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bidi="ar-SA"/>
        </w:rPr>
        <w:t>3．</w:t>
      </w:r>
      <w:r>
        <w:rPr>
          <w:rFonts w:hint="eastAsia" w:ascii="仿宋_GB2312" w:hAnsi="仿宋_GB2312" w:eastAsia="仿宋_GB2312" w:cs="仿宋_GB2312"/>
          <w:bCs/>
          <w:sz w:val="28"/>
          <w:szCs w:val="28"/>
        </w:rPr>
        <w:t>产品升级服务。能够根据最新的技术趋势提供产品软件更新、版本升级。</w:t>
      </w:r>
    </w:p>
    <w:p w14:paraId="6FF0064C">
      <w:pPr>
        <w:widowControl w:val="0"/>
        <w:numPr>
          <w:ilvl w:val="0"/>
          <w:numId w:val="0"/>
        </w:numPr>
        <w:tabs>
          <w:tab w:val="left" w:pos="630"/>
          <w:tab w:val="left" w:pos="7665"/>
        </w:tabs>
        <w:spacing w:before="0" w:beforeLines="0" w:after="0" w:afterLines="0" w:line="576" w:lineRule="exact"/>
        <w:ind w:left="0" w:leftChars="0" w:firstLine="560" w:firstLineChars="200"/>
        <w:jc w:val="both"/>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sz w:val="28"/>
          <w:szCs w:val="28"/>
          <w:lang w:val="en-US" w:eastAsia="zh-CN" w:bidi="ar-SA"/>
        </w:rPr>
        <w:t>4．</w:t>
      </w:r>
      <w:r>
        <w:rPr>
          <w:rFonts w:hint="eastAsia" w:ascii="仿宋_GB2312" w:hAnsi="仿宋_GB2312" w:eastAsia="仿宋_GB2312" w:cs="仿宋_GB2312"/>
          <w:b w:val="0"/>
          <w:bCs/>
          <w:sz w:val="28"/>
          <w:szCs w:val="28"/>
        </w:rPr>
        <w:t>及时响应处理采购人需求。供应商应统一服务申告渠道，设置售后服务电话，至少为采购人配备一名专职客户经理，专职处理采购人咨询、报障和投诉等业务。售后服务团队配备：为确保能为采购人提供及时周到的服务，需要配置专门的售后服务团队以方便采购人紧急时候的维护。乙方提供7×24小时技术支持和服务</w:t>
      </w:r>
      <w:r>
        <w:rPr>
          <w:rFonts w:hint="eastAsia" w:ascii="仿宋_GB2312" w:hAnsi="仿宋_GB2312" w:eastAsia="仿宋_GB2312" w:cs="仿宋_GB2312"/>
          <w:b w:val="0"/>
          <w:bCs/>
          <w:sz w:val="28"/>
          <w:szCs w:val="28"/>
          <w:lang w:eastAsia="zh-CN"/>
        </w:rPr>
        <w:t>。</w:t>
      </w:r>
    </w:p>
    <w:p w14:paraId="71EB9466">
      <w:pPr>
        <w:widowControl w:val="0"/>
        <w:numPr>
          <w:ilvl w:val="0"/>
          <w:numId w:val="0"/>
        </w:numPr>
        <w:spacing w:before="0" w:beforeLines="0" w:after="0" w:afterLines="0" w:line="576" w:lineRule="exact"/>
        <w:ind w:firstLine="640" w:firstLineChars="200"/>
        <w:jc w:val="both"/>
        <w:outlineLvl w:val="1"/>
        <w:rPr>
          <w:rFonts w:hint="eastAsia" w:ascii="黑体" w:hAnsi="宋体" w:eastAsia="黑体" w:cs="黑体"/>
          <w:color w:val="000000"/>
          <w:kern w:val="2"/>
          <w:sz w:val="32"/>
          <w:szCs w:val="32"/>
          <w:lang w:bidi="ar"/>
        </w:rPr>
      </w:pPr>
      <w:bookmarkStart w:id="85" w:name="_Toc198856102"/>
      <w:bookmarkStart w:id="86" w:name="_Toc18920340"/>
      <w:bookmarkStart w:id="87" w:name="_Toc18920443"/>
      <w:bookmarkStart w:id="88" w:name="_Toc9556"/>
      <w:bookmarkStart w:id="89" w:name="_Toc524605178"/>
      <w:r>
        <w:rPr>
          <w:rFonts w:hint="eastAsia" w:ascii="黑体" w:hAnsi="宋体" w:eastAsia="黑体" w:cs="黑体"/>
          <w:color w:val="000000"/>
          <w:kern w:val="2"/>
          <w:sz w:val="32"/>
          <w:szCs w:val="32"/>
          <w:lang w:val="en-US" w:eastAsia="zh-CN" w:bidi="ar"/>
        </w:rPr>
        <w:t>六、</w:t>
      </w:r>
      <w:r>
        <w:rPr>
          <w:rFonts w:hint="eastAsia" w:ascii="黑体" w:hAnsi="宋体" w:eastAsia="黑体" w:cs="黑体"/>
          <w:color w:val="000000"/>
          <w:kern w:val="2"/>
          <w:sz w:val="32"/>
          <w:szCs w:val="32"/>
          <w:lang w:bidi="ar"/>
        </w:rPr>
        <w:t>技术服务以及培训</w:t>
      </w:r>
      <w:bookmarkEnd w:id="85"/>
      <w:bookmarkEnd w:id="86"/>
      <w:bookmarkEnd w:id="87"/>
      <w:bookmarkEnd w:id="88"/>
      <w:bookmarkEnd w:id="89"/>
    </w:p>
    <w:p w14:paraId="6C339C3D">
      <w:pPr>
        <w:widowControl w:val="0"/>
        <w:numPr>
          <w:ilvl w:val="0"/>
          <w:numId w:val="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在项目建设关键里程碑环节（需求调研、系统开发测试、系统部署上线、平台培训及运营服务），项目经理及技术骨干须全程驻场，确保：1. 需求调研阶段完成所有业务场景覆盖及需求确认书签署；2. 开发测试阶段实现核心模块代码审查率及测试用例审核通过；3. 上线阶段完成后稳定性验证及应急预案演练；4. 培训阶段达成用户实操考核通过。</w:t>
      </w:r>
    </w:p>
    <w:p w14:paraId="1E7D4610">
      <w:pPr>
        <w:widowControl w:val="0"/>
        <w:numPr>
          <w:ilvl w:val="0"/>
          <w:numId w:val="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在需求调研阶段，必须提供整体解决方案，完成项目全生命周期过程管理，具体工作包括：1. 需求调研与系统架构设计，构建统一商业智能分析平台；2. 建设财务预算、成本费用、研发投入、盈利能力、偿债能力分析模块；3. 财务快报分析报告线上化；4. 制定标准化运营流程，开展实操培训与效果评估。最终交付可复用的报表系统及工具，助力海钢集团实现财务分析在线智能化决策。</w:t>
      </w:r>
    </w:p>
    <w:p w14:paraId="0DBBA4DE">
      <w:pPr>
        <w:widowControl w:val="0"/>
        <w:numPr>
          <w:ilvl w:val="0"/>
          <w:numId w:val="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成交供应商技术服务人员的目的是保证所提供的软件系统正常投运。成交供应商要派出合格的、能独立解决问题的服务人，现场服务表应能满足项目需要。成交供应商所派出的服务人必须对用户进行该系统的相关培训，解答操作人员使用过程中的问题，提供相关的技术文档，包括但不限于：用户手册、维护手册、故障运维指南等。</w:t>
      </w:r>
    </w:p>
    <w:p w14:paraId="544FC252">
      <w:pPr>
        <w:widowControl w:val="0"/>
        <w:numPr>
          <w:ilvl w:val="0"/>
          <w:numId w:val="0"/>
        </w:numPr>
        <w:spacing w:before="0" w:beforeLines="0" w:after="0" w:afterLines="0" w:line="576" w:lineRule="exact"/>
        <w:ind w:firstLine="640" w:firstLineChars="200"/>
        <w:jc w:val="both"/>
        <w:outlineLvl w:val="1"/>
        <w:rPr>
          <w:rFonts w:hint="eastAsia" w:ascii="黑体" w:hAnsi="宋体" w:eastAsia="黑体" w:cs="黑体"/>
          <w:color w:val="000000"/>
          <w:kern w:val="2"/>
          <w:sz w:val="32"/>
          <w:szCs w:val="32"/>
          <w:lang w:bidi="ar"/>
        </w:rPr>
      </w:pPr>
      <w:r>
        <w:rPr>
          <w:rFonts w:hint="eastAsia" w:ascii="黑体" w:hAnsi="宋体" w:eastAsia="黑体" w:cs="黑体"/>
          <w:color w:val="000000"/>
          <w:kern w:val="2"/>
          <w:sz w:val="32"/>
          <w:szCs w:val="32"/>
          <w:lang w:val="en-US" w:eastAsia="zh-CN" w:bidi="ar"/>
        </w:rPr>
        <w:t>七、</w:t>
      </w:r>
      <w:r>
        <w:rPr>
          <w:rFonts w:hint="eastAsia" w:ascii="黑体" w:hAnsi="宋体" w:eastAsia="黑体" w:cs="黑体"/>
          <w:color w:val="000000"/>
          <w:kern w:val="2"/>
          <w:sz w:val="32"/>
          <w:szCs w:val="32"/>
          <w:lang w:bidi="ar"/>
        </w:rPr>
        <w:t>商务要求</w:t>
      </w:r>
    </w:p>
    <w:p w14:paraId="5E3D0A60">
      <w:pPr>
        <w:widowControl w:val="0"/>
        <w:numPr>
          <w:ilvl w:val="0"/>
          <w:numId w:val="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1.合同履行期限：合同签订之日起12个月。</w:t>
      </w:r>
    </w:p>
    <w:p w14:paraId="4D87308F">
      <w:pPr>
        <w:widowControl w:val="0"/>
        <w:numPr>
          <w:ilvl w:val="0"/>
          <w:numId w:val="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2.服务地点：采购人指定地点。</w:t>
      </w:r>
    </w:p>
    <w:p w14:paraId="1414CF28">
      <w:pPr>
        <w:widowControl w:val="0"/>
        <w:numPr>
          <w:ilvl w:val="0"/>
          <w:numId w:val="0"/>
        </w:numPr>
        <w:tabs>
          <w:tab w:val="left" w:pos="630"/>
          <w:tab w:val="left" w:pos="7665"/>
        </w:tabs>
        <w:spacing w:before="0" w:after="0" w:line="576" w:lineRule="exact"/>
        <w:ind w:firstLine="560" w:firstLineChars="200"/>
        <w:jc w:val="both"/>
        <w:rPr>
          <w:rFonts w:hint="eastAsia" w:ascii="仿宋_GB2312" w:hAnsi="仿宋_GB2312" w:eastAsia="仿宋_GB2312" w:cs="仿宋_GB2312"/>
          <w:bCs/>
          <w:sz w:val="28"/>
          <w:szCs w:val="28"/>
          <w:highlight w:val="yellow"/>
          <w:lang w:val="en-US" w:eastAsia="zh-CN"/>
        </w:rPr>
      </w:pPr>
      <w:r>
        <w:rPr>
          <w:rFonts w:hint="eastAsia" w:ascii="仿宋_GB2312" w:hAnsi="仿宋_GB2312" w:eastAsia="仿宋_GB2312" w:cs="仿宋_GB2312"/>
          <w:bCs/>
          <w:sz w:val="28"/>
          <w:szCs w:val="28"/>
          <w:lang w:val="en-US" w:eastAsia="zh-CN"/>
        </w:rPr>
        <w:t>3.付款方式：</w:t>
      </w:r>
      <w:r>
        <w:rPr>
          <w:rFonts w:hint="eastAsia" w:ascii="仿宋_GB2312" w:hAnsi="仿宋_GB2312" w:eastAsia="仿宋_GB2312" w:cs="仿宋_GB2312"/>
          <w:bCs/>
          <w:sz w:val="28"/>
          <w:szCs w:val="28"/>
          <w:highlight w:val="none"/>
          <w:lang w:val="en-US" w:eastAsia="zh-CN"/>
        </w:rPr>
        <w:t>本项目预付款30%，方案确认与系统部署完成支付至合同金额的60%，系统上线及验收合格后支付至合同金额的95%，剩余5%在质保期结束后进行支付。</w:t>
      </w:r>
      <w:bookmarkStart w:id="90" w:name="_Toc24150"/>
    </w:p>
    <w:p w14:paraId="6E97DF0F">
      <w:pPr>
        <w:keepNext w:val="0"/>
        <w:keepLines w:val="0"/>
        <w:widowControl w:val="0"/>
        <w:numPr>
          <w:ilvl w:val="0"/>
          <w:numId w:val="0"/>
        </w:numPr>
        <w:spacing w:before="0" w:after="0" w:line="600" w:lineRule="exact"/>
        <w:jc w:val="center"/>
        <w:outlineLvl w:val="0"/>
        <w:rPr>
          <w:rFonts w:hint="eastAsia" w:ascii="方正小标宋简体" w:hAnsi="方正小标宋简体" w:eastAsia="方正小标宋简体" w:cs="方正小标宋简体"/>
          <w:b w:val="0"/>
          <w:bCs w:val="0"/>
          <w:color w:val="000000"/>
          <w:kern w:val="2"/>
          <w:sz w:val="44"/>
          <w:szCs w:val="44"/>
          <w:lang w:bidi="ar"/>
        </w:rPr>
      </w:pPr>
      <w:r>
        <w:rPr>
          <w:rFonts w:hint="default" w:ascii="黑体" w:hAnsi="黑体" w:eastAsia="黑体" w:cs="黑体"/>
          <w:b w:val="0"/>
          <w:bCs w:val="0"/>
          <w:color w:val="000000"/>
          <w:sz w:val="30"/>
          <w:szCs w:val="30"/>
        </w:rPr>
        <w:br w:type="page"/>
      </w:r>
      <w:r>
        <w:rPr>
          <w:rFonts w:hint="eastAsia" w:ascii="方正小标宋简体" w:hAnsi="方正小标宋简体" w:eastAsia="方正小标宋简体" w:cs="方正小标宋简体"/>
          <w:b w:val="0"/>
          <w:bCs w:val="0"/>
          <w:color w:val="000000"/>
          <w:kern w:val="2"/>
          <w:sz w:val="44"/>
          <w:szCs w:val="44"/>
          <w:lang w:bidi="ar"/>
        </w:rPr>
        <w:t>第四章 响应文件格式</w:t>
      </w:r>
    </w:p>
    <w:p w14:paraId="6BED666B">
      <w:pPr>
        <w:keepNext w:val="0"/>
        <w:keepLines w:val="0"/>
        <w:widowControl w:val="0"/>
        <w:numPr>
          <w:ilvl w:val="0"/>
          <w:numId w:val="0"/>
        </w:numPr>
        <w:spacing w:before="0" w:after="0" w:line="600" w:lineRule="exact"/>
        <w:jc w:val="center"/>
        <w:rPr>
          <w:rFonts w:hint="default" w:ascii="方正小标宋简体" w:hAnsi="方正小标宋简体" w:eastAsia="方正小标宋简体" w:cs="方正小标宋简体"/>
          <w:b w:val="0"/>
          <w:bCs w:val="0"/>
          <w:color w:val="000000"/>
          <w:kern w:val="2"/>
          <w:sz w:val="44"/>
          <w:szCs w:val="44"/>
          <w:lang w:bidi="ar"/>
        </w:rPr>
      </w:pPr>
    </w:p>
    <w:p w14:paraId="06F11F4F">
      <w:pPr>
        <w:keepNext w:val="0"/>
        <w:keepLines w:val="0"/>
        <w:numPr>
          <w:ilvl w:val="0"/>
          <w:numId w:val="0"/>
        </w:numPr>
        <w:spacing w:before="0" w:after="0" w:line="576" w:lineRule="exact"/>
        <w:ind w:firstLine="640" w:firstLineChars="200"/>
        <w:jc w:val="center"/>
        <w:outlineLvl w:val="1"/>
        <w:rPr>
          <w:rFonts w:hint="eastAsia" w:ascii="黑体" w:hAnsi="宋体" w:eastAsia="黑体" w:cs="黑体"/>
          <w:color w:val="000000"/>
          <w:kern w:val="2"/>
          <w:sz w:val="32"/>
          <w:szCs w:val="32"/>
          <w:lang w:bidi="ar"/>
        </w:rPr>
      </w:pPr>
      <w:bookmarkStart w:id="91" w:name="_Toc12098"/>
      <w:bookmarkStart w:id="92" w:name="_Toc9625"/>
      <w:bookmarkStart w:id="93" w:name="_Toc29040"/>
      <w:r>
        <w:rPr>
          <w:rFonts w:hint="eastAsia" w:ascii="黑体" w:hAnsi="宋体" w:eastAsia="黑体" w:cs="黑体"/>
          <w:color w:val="000000"/>
          <w:kern w:val="2"/>
          <w:sz w:val="32"/>
          <w:szCs w:val="32"/>
          <w:lang w:bidi="ar"/>
        </w:rPr>
        <w:t>一、响 应 函</w:t>
      </w:r>
      <w:bookmarkEnd w:id="91"/>
      <w:bookmarkEnd w:id="92"/>
    </w:p>
    <w:p w14:paraId="2E5E515E">
      <w:pPr>
        <w:keepNext w:val="0"/>
        <w:keepLines w:val="0"/>
        <w:numPr>
          <w:ilvl w:val="0"/>
          <w:numId w:val="0"/>
        </w:numPr>
        <w:spacing w:before="0" w:after="0" w:line="576" w:lineRule="exact"/>
        <w:ind w:firstLine="640" w:firstLineChars="200"/>
        <w:jc w:val="both"/>
        <w:rPr>
          <w:rFonts w:hint="eastAsia" w:ascii="黑体" w:hAnsi="宋体" w:eastAsia="黑体" w:cs="黑体"/>
          <w:color w:val="000000"/>
          <w:kern w:val="2"/>
          <w:sz w:val="32"/>
          <w:szCs w:val="32"/>
          <w:lang w:bidi="ar"/>
        </w:rPr>
      </w:pPr>
    </w:p>
    <w:bookmarkEnd w:id="93"/>
    <w:p w14:paraId="25959A9B">
      <w:pPr>
        <w:pStyle w:val="14"/>
        <w:spacing w:line="4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i/>
          <w:iCs/>
          <w:color w:val="auto"/>
          <w:kern w:val="0"/>
          <w:sz w:val="28"/>
          <w:szCs w:val="28"/>
          <w:u w:val="single"/>
        </w:rPr>
        <w:t>（采购人）</w:t>
      </w:r>
      <w:r>
        <w:rPr>
          <w:rFonts w:hint="eastAsia" w:ascii="仿宋_GB2312" w:hAnsi="仿宋_GB2312" w:eastAsia="仿宋_GB2312" w:cs="仿宋_GB2312"/>
          <w:bCs/>
          <w:color w:val="auto"/>
          <w:sz w:val="28"/>
          <w:szCs w:val="28"/>
        </w:rPr>
        <w:t>：</w:t>
      </w:r>
    </w:p>
    <w:p w14:paraId="3DBF044A">
      <w:pPr>
        <w:spacing w:line="460"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根据贵单位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i/>
          <w:iCs/>
          <w:color w:val="auto"/>
          <w:sz w:val="28"/>
          <w:szCs w:val="28"/>
        </w:rPr>
        <w:t>（项目名称）</w:t>
      </w:r>
      <w:r>
        <w:rPr>
          <w:rFonts w:hint="eastAsia" w:ascii="仿宋_GB2312" w:hAnsi="仿宋_GB2312" w:eastAsia="仿宋_GB2312" w:cs="仿宋_GB2312"/>
          <w:bCs/>
          <w:color w:val="auto"/>
          <w:sz w:val="28"/>
          <w:szCs w:val="28"/>
        </w:rPr>
        <w:t>的谈判</w:t>
      </w:r>
      <w:r>
        <w:rPr>
          <w:rFonts w:hint="eastAsia" w:ascii="仿宋_GB2312" w:hAnsi="仿宋_GB2312" w:eastAsia="仿宋_GB2312" w:cs="仿宋_GB2312"/>
          <w:bCs/>
          <w:color w:val="auto"/>
          <w:sz w:val="28"/>
          <w:szCs w:val="28"/>
          <w:lang w:val="en-US" w:eastAsia="zh-CN"/>
        </w:rPr>
        <w:t>文件</w:t>
      </w:r>
      <w:r>
        <w:rPr>
          <w:rFonts w:hint="eastAsia" w:ascii="仿宋_GB2312" w:hAnsi="仿宋_GB2312" w:eastAsia="仿宋_GB2312" w:cs="仿宋_GB2312"/>
          <w:bCs/>
          <w:color w:val="auto"/>
          <w:sz w:val="28"/>
          <w:szCs w:val="28"/>
        </w:rPr>
        <w:t>要求，正式授权下述签字人</w:t>
      </w:r>
      <w:r>
        <w:rPr>
          <w:rFonts w:hint="eastAsia" w:ascii="仿宋_GB2312" w:hAnsi="仿宋_GB2312" w:eastAsia="仿宋_GB2312" w:cs="仿宋_GB2312"/>
          <w:i/>
          <w:iCs/>
          <w:color w:val="auto"/>
          <w:sz w:val="28"/>
          <w:szCs w:val="28"/>
          <w:u w:val="single"/>
        </w:rPr>
        <w:t>（姓名）</w:t>
      </w:r>
      <w:r>
        <w:rPr>
          <w:rFonts w:hint="eastAsia" w:ascii="仿宋_GB2312" w:hAnsi="仿宋_GB2312" w:eastAsia="仿宋_GB2312" w:cs="仿宋_GB2312"/>
          <w:bCs/>
          <w:color w:val="auto"/>
          <w:sz w:val="28"/>
          <w:szCs w:val="28"/>
        </w:rPr>
        <w:t>代表供应商</w:t>
      </w:r>
      <w:r>
        <w:rPr>
          <w:rFonts w:hint="eastAsia" w:ascii="仿宋_GB2312" w:hAnsi="仿宋_GB2312" w:eastAsia="仿宋_GB2312" w:cs="仿宋_GB2312"/>
          <w:i/>
          <w:iCs/>
          <w:color w:val="auto"/>
          <w:sz w:val="28"/>
          <w:szCs w:val="28"/>
          <w:u w:val="single"/>
        </w:rPr>
        <w:t>（报价单位名称）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提交响应文件</w:t>
      </w:r>
      <w:r>
        <w:rPr>
          <w:rFonts w:hint="eastAsia" w:ascii="仿宋_GB2312" w:hAnsi="仿宋_GB2312" w:eastAsia="仿宋_GB2312" w:cs="仿宋_GB2312"/>
          <w:bCs/>
          <w:color w:val="auto"/>
          <w:spacing w:val="0"/>
          <w:sz w:val="28"/>
          <w:szCs w:val="28"/>
        </w:rPr>
        <w:t>正本1份，副本1份</w:t>
      </w:r>
      <w:r>
        <w:rPr>
          <w:rFonts w:hint="eastAsia" w:ascii="仿宋_GB2312" w:hAnsi="仿宋_GB2312" w:eastAsia="仿宋_GB2312" w:cs="仿宋_GB2312"/>
          <w:bCs/>
          <w:color w:val="auto"/>
          <w:sz w:val="28"/>
          <w:szCs w:val="28"/>
        </w:rPr>
        <w:t>。</w:t>
      </w:r>
    </w:p>
    <w:p w14:paraId="479506A8">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根据此函，</w:t>
      </w:r>
      <w:r>
        <w:rPr>
          <w:rFonts w:hint="eastAsia" w:ascii="仿宋_GB2312" w:hAnsi="仿宋_GB2312" w:eastAsia="仿宋_GB2312" w:cs="仿宋_GB2312"/>
          <w:bCs/>
          <w:color w:val="auto"/>
          <w:spacing w:val="0"/>
          <w:sz w:val="28"/>
          <w:szCs w:val="28"/>
        </w:rPr>
        <w:t>兹承诺如下</w:t>
      </w:r>
      <w:r>
        <w:rPr>
          <w:rFonts w:hint="eastAsia" w:ascii="仿宋_GB2312" w:hAnsi="仿宋_GB2312" w:eastAsia="仿宋_GB2312" w:cs="仿宋_GB2312"/>
          <w:bCs/>
          <w:color w:val="auto"/>
          <w:sz w:val="28"/>
          <w:szCs w:val="28"/>
        </w:rPr>
        <w:t>：</w:t>
      </w:r>
    </w:p>
    <w:p w14:paraId="5481BA8D">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1.我们根据谈判文件的规定，承担完成合同的责任和义务。</w:t>
      </w:r>
    </w:p>
    <w:p w14:paraId="2DD3B7FB">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2.我们已详细审核全部谈判文件，包括谈判文件</w:t>
      </w:r>
      <w:r>
        <w:rPr>
          <w:rFonts w:hint="eastAsia" w:ascii="仿宋_GB2312" w:hAnsi="仿宋_GB2312" w:eastAsia="仿宋_GB2312" w:cs="仿宋_GB2312"/>
          <w:bCs/>
          <w:color w:val="auto"/>
          <w:sz w:val="28"/>
          <w:szCs w:val="28"/>
          <w:lang w:val="en-US" w:eastAsia="zh-CN"/>
        </w:rPr>
        <w:t>更正公告</w:t>
      </w:r>
      <w:r>
        <w:rPr>
          <w:rFonts w:hint="eastAsia" w:ascii="仿宋_GB2312" w:hAnsi="仿宋_GB2312" w:eastAsia="仿宋_GB2312" w:cs="仿宋_GB2312"/>
          <w:bCs/>
          <w:color w:val="auto"/>
          <w:sz w:val="28"/>
          <w:szCs w:val="28"/>
        </w:rPr>
        <w:t>，参考资料及有关附件，我们完全理解并放弃提出含糊不清或误解的问题的权利。</w:t>
      </w:r>
    </w:p>
    <w:p w14:paraId="4FC66749">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3.本报价有效期为自谈判开始日起</w:t>
      </w:r>
      <w:r>
        <w:rPr>
          <w:rFonts w:hint="eastAsia" w:ascii="仿宋_GB2312" w:hAnsi="仿宋_GB2312" w:eastAsia="仿宋_GB2312" w:cs="仿宋_GB2312"/>
          <w:bCs/>
          <w:color w:val="auto"/>
          <w:sz w:val="28"/>
          <w:szCs w:val="28"/>
          <w:u w:val="none"/>
        </w:rPr>
        <w:t xml:space="preserve"> </w:t>
      </w:r>
      <w:r>
        <w:rPr>
          <w:rFonts w:hint="eastAsia" w:ascii="仿宋_GB2312" w:hAnsi="仿宋_GB2312" w:eastAsia="仿宋_GB2312" w:cs="仿宋_GB2312"/>
          <w:bCs/>
          <w:color w:val="auto"/>
          <w:sz w:val="28"/>
          <w:szCs w:val="28"/>
        </w:rPr>
        <w:t>日历日。报价有效期满之前均具有约束力。</w:t>
      </w:r>
    </w:p>
    <w:p w14:paraId="1881F9AA">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4.同意向贵方提供贵方可能要求的与本报价有关任何证据或资料。</w:t>
      </w:r>
    </w:p>
    <w:p w14:paraId="49CA6821">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5.我们完全理解贵方不一定要接受最低报价的报价或收到的任何报价。</w:t>
      </w:r>
    </w:p>
    <w:p w14:paraId="7CE7A999">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6.如果我方成交，我方保证按照谈判文件的规定向贵方缴纳成交服务费。</w:t>
      </w:r>
    </w:p>
    <w:p w14:paraId="7A4DF1FA">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7.我方完全理解并接受谈判文件的所有条款及规定。</w:t>
      </w:r>
    </w:p>
    <w:p w14:paraId="79B7BDE7">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与本报价有关的正式通讯地址为：</w:t>
      </w:r>
    </w:p>
    <w:p w14:paraId="1CFC1272">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供应商名称（公章）：              </w:t>
      </w:r>
    </w:p>
    <w:p w14:paraId="529D3C71">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u w:val="none"/>
        </w:rPr>
      </w:pPr>
      <w:r>
        <w:rPr>
          <w:rFonts w:hint="eastAsia" w:ascii="仿宋_GB2312" w:hAnsi="仿宋_GB2312" w:eastAsia="仿宋_GB2312" w:cs="仿宋_GB2312"/>
          <w:bCs/>
          <w:color w:val="auto"/>
          <w:sz w:val="28"/>
          <w:szCs w:val="28"/>
        </w:rPr>
        <w:t>地址：</w:t>
      </w:r>
      <w:r>
        <w:rPr>
          <w:rFonts w:hint="eastAsia" w:ascii="仿宋_GB2312" w:hAnsi="仿宋_GB2312" w:eastAsia="仿宋_GB2312" w:cs="仿宋_GB2312"/>
          <w:bCs/>
          <w:color w:val="auto"/>
          <w:sz w:val="28"/>
          <w:szCs w:val="28"/>
          <w:u w:val="none"/>
        </w:rPr>
        <w:t xml:space="preserve">                               </w:t>
      </w:r>
      <w:r>
        <w:rPr>
          <w:rFonts w:hint="eastAsia" w:ascii="仿宋_GB2312" w:hAnsi="仿宋_GB2312" w:eastAsia="仿宋_GB2312" w:cs="仿宋_GB2312"/>
          <w:bCs/>
          <w:color w:val="auto"/>
          <w:sz w:val="28"/>
          <w:szCs w:val="28"/>
        </w:rPr>
        <w:t>邮编：</w:t>
      </w:r>
      <w:r>
        <w:rPr>
          <w:rFonts w:hint="eastAsia" w:ascii="仿宋_GB2312" w:hAnsi="仿宋_GB2312" w:eastAsia="仿宋_GB2312" w:cs="仿宋_GB2312"/>
          <w:bCs/>
          <w:color w:val="auto"/>
          <w:sz w:val="28"/>
          <w:szCs w:val="28"/>
          <w:u w:val="none"/>
        </w:rPr>
        <w:t xml:space="preserve">          </w:t>
      </w:r>
    </w:p>
    <w:p w14:paraId="0F6DF7D0">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u w:val="none"/>
        </w:rPr>
      </w:pPr>
      <w:r>
        <w:rPr>
          <w:rFonts w:hint="eastAsia" w:ascii="仿宋_GB2312" w:hAnsi="仿宋_GB2312" w:eastAsia="仿宋_GB2312" w:cs="仿宋_GB2312"/>
          <w:bCs/>
          <w:color w:val="auto"/>
          <w:sz w:val="28"/>
          <w:szCs w:val="28"/>
        </w:rPr>
        <w:t>电话：</w:t>
      </w:r>
      <w:r>
        <w:rPr>
          <w:rFonts w:hint="eastAsia" w:ascii="仿宋_GB2312" w:hAnsi="仿宋_GB2312" w:eastAsia="仿宋_GB2312" w:cs="仿宋_GB2312"/>
          <w:bCs/>
          <w:color w:val="auto"/>
          <w:sz w:val="28"/>
          <w:szCs w:val="28"/>
          <w:u w:val="none"/>
        </w:rPr>
        <w:t xml:space="preserve">              </w:t>
      </w:r>
      <w:r>
        <w:rPr>
          <w:rFonts w:hint="eastAsia" w:ascii="仿宋_GB2312" w:hAnsi="仿宋_GB2312" w:eastAsia="仿宋_GB2312" w:cs="仿宋_GB2312"/>
          <w:bCs/>
          <w:color w:val="auto"/>
          <w:sz w:val="28"/>
          <w:szCs w:val="28"/>
        </w:rPr>
        <w:t>传真：</w:t>
      </w:r>
      <w:r>
        <w:rPr>
          <w:rFonts w:hint="eastAsia" w:ascii="仿宋_GB2312" w:hAnsi="仿宋_GB2312" w:eastAsia="仿宋_GB2312" w:cs="仿宋_GB2312"/>
          <w:bCs/>
          <w:color w:val="auto"/>
          <w:sz w:val="28"/>
          <w:szCs w:val="28"/>
          <w:u w:val="none"/>
        </w:rPr>
        <w:t xml:space="preserve">             </w:t>
      </w:r>
    </w:p>
    <w:p w14:paraId="4972E8E6">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u w:val="none"/>
        </w:rPr>
      </w:pPr>
      <w:r>
        <w:rPr>
          <w:rFonts w:hint="eastAsia" w:ascii="仿宋_GB2312" w:hAnsi="仿宋_GB2312" w:eastAsia="仿宋_GB2312" w:cs="仿宋_GB2312"/>
          <w:bCs/>
          <w:color w:val="auto"/>
          <w:sz w:val="28"/>
          <w:szCs w:val="28"/>
        </w:rPr>
        <w:t>授权代表（签字或私章）：</w:t>
      </w:r>
      <w:r>
        <w:rPr>
          <w:rFonts w:hint="eastAsia" w:ascii="仿宋_GB2312" w:hAnsi="仿宋_GB2312" w:eastAsia="仿宋_GB2312" w:cs="仿宋_GB2312"/>
          <w:bCs/>
          <w:color w:val="auto"/>
          <w:sz w:val="28"/>
          <w:szCs w:val="28"/>
          <w:u w:val="none"/>
        </w:rPr>
        <w:t xml:space="preserve">               </w:t>
      </w:r>
    </w:p>
    <w:p w14:paraId="1BC97D57">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u w:val="none"/>
        </w:rPr>
      </w:pPr>
      <w:r>
        <w:rPr>
          <w:rFonts w:hint="eastAsia" w:ascii="仿宋_GB2312" w:hAnsi="仿宋_GB2312" w:eastAsia="仿宋_GB2312" w:cs="仿宋_GB2312"/>
          <w:bCs/>
          <w:color w:val="auto"/>
          <w:sz w:val="28"/>
          <w:szCs w:val="28"/>
        </w:rPr>
        <w:t>日期：</w:t>
      </w:r>
      <w:r>
        <w:rPr>
          <w:rFonts w:hint="eastAsia" w:ascii="仿宋_GB2312" w:hAnsi="仿宋_GB2312" w:eastAsia="仿宋_GB2312" w:cs="仿宋_GB2312"/>
          <w:bCs/>
          <w:color w:val="auto"/>
          <w:sz w:val="28"/>
          <w:szCs w:val="28"/>
          <w:u w:val="none"/>
        </w:rPr>
        <w:t xml:space="preserve">                  </w:t>
      </w:r>
    </w:p>
    <w:p w14:paraId="24BC6AA8">
      <w:pPr>
        <w:pStyle w:val="3"/>
        <w:rPr>
          <w:rStyle w:val="32"/>
          <w:rFonts w:ascii="黑体" w:hAnsi="黑体" w:eastAsia="黑体" w:cs="黑体"/>
          <w:b w:val="0"/>
          <w:bCs w:val="0"/>
          <w:iCs/>
          <w:color w:val="auto"/>
          <w:sz w:val="32"/>
          <w:szCs w:val="32"/>
        </w:rPr>
        <w:sectPr>
          <w:footerReference r:id="rId11" w:type="default"/>
          <w:pgSz w:w="11905" w:h="16838"/>
          <w:pgMar w:top="1984" w:right="1871" w:bottom="1984" w:left="1871" w:header="851" w:footer="850" w:gutter="0"/>
          <w:pgNumType w:fmt="chineseCounting"/>
          <w:cols w:space="720" w:num="1"/>
          <w:docGrid w:linePitch="482" w:charSpace="0"/>
        </w:sectPr>
      </w:pPr>
      <w:bookmarkStart w:id="94" w:name="_Toc439772545"/>
      <w:bookmarkStart w:id="95" w:name="_Toc435001451"/>
      <w:bookmarkStart w:id="96" w:name="_Toc21421"/>
      <w:bookmarkStart w:id="97" w:name="_Toc20390"/>
      <w:bookmarkStart w:id="98" w:name="_Toc5529"/>
    </w:p>
    <w:p w14:paraId="22801EB4">
      <w:pPr>
        <w:numPr>
          <w:ilvl w:val="0"/>
          <w:numId w:val="0"/>
        </w:numPr>
        <w:spacing w:line="576" w:lineRule="exact"/>
        <w:ind w:firstLine="2240" w:firstLineChars="700"/>
        <w:jc w:val="both"/>
        <w:outlineLvl w:val="1"/>
      </w:pPr>
      <w:r>
        <w:rPr>
          <w:rStyle w:val="25"/>
          <w:rFonts w:hint="eastAsia" w:ascii="黑体" w:hAnsi="宋体" w:eastAsia="黑体" w:cs="黑体"/>
          <w:b w:val="0"/>
          <w:bCs w:val="0"/>
          <w:iCs w:val="0"/>
          <w:color w:val="000000"/>
          <w:kern w:val="2"/>
          <w:sz w:val="32"/>
          <w:szCs w:val="32"/>
          <w:lang w:bidi="ar"/>
        </w:rPr>
        <w:t>二、</w:t>
      </w:r>
      <w:bookmarkEnd w:id="94"/>
      <w:bookmarkEnd w:id="95"/>
      <w:r>
        <w:rPr>
          <w:rStyle w:val="25"/>
          <w:rFonts w:hint="eastAsia" w:ascii="黑体" w:hAnsi="宋体" w:eastAsia="黑体" w:cs="黑体"/>
          <w:b w:val="0"/>
          <w:bCs w:val="0"/>
          <w:iCs w:val="0"/>
          <w:color w:val="000000"/>
          <w:kern w:val="2"/>
          <w:sz w:val="32"/>
          <w:szCs w:val="32"/>
          <w:lang w:bidi="ar"/>
        </w:rPr>
        <w:t>法定代表人身份证明</w:t>
      </w:r>
      <w:bookmarkEnd w:id="96"/>
      <w:bookmarkEnd w:id="97"/>
      <w:bookmarkEnd w:id="98"/>
      <w:bookmarkStart w:id="99" w:name="_Toc14472"/>
      <w:bookmarkStart w:id="100" w:name="_Toc27238"/>
      <w:bookmarkStart w:id="101" w:name="_Toc23909"/>
      <w:bookmarkStart w:id="102" w:name="_Toc14865"/>
      <w:bookmarkStart w:id="103" w:name="_Toc13554"/>
      <w:bookmarkStart w:id="104" w:name="_Toc983"/>
      <w:bookmarkStart w:id="105" w:name="_Toc28517"/>
    </w:p>
    <w:p w14:paraId="3882AE94">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sz w:val="28"/>
          <w:szCs w:val="28"/>
          <w:u w:val="single"/>
        </w:rPr>
      </w:pPr>
      <w:r>
        <w:rPr>
          <w:rFonts w:hint="eastAsia" w:ascii="仿宋_GB2312" w:hAnsi="仿宋_GB2312" w:eastAsia="仿宋_GB2312" w:cs="仿宋_GB2312"/>
          <w:bCs/>
          <w:sz w:val="28"/>
          <w:szCs w:val="28"/>
        </w:rPr>
        <w:t>供应商名称：</w:t>
      </w:r>
      <w:bookmarkEnd w:id="99"/>
      <w:bookmarkEnd w:id="100"/>
      <w:bookmarkEnd w:id="101"/>
      <w:bookmarkEnd w:id="102"/>
      <w:bookmarkEnd w:id="103"/>
      <w:bookmarkEnd w:id="104"/>
      <w:bookmarkEnd w:id="105"/>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553FA0B9">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sz w:val="28"/>
          <w:szCs w:val="28"/>
        </w:rPr>
      </w:pPr>
      <w:bookmarkStart w:id="106" w:name="_Toc28865"/>
      <w:bookmarkStart w:id="107" w:name="_Toc1727"/>
      <w:bookmarkStart w:id="108" w:name="_Toc30886"/>
      <w:bookmarkStart w:id="109" w:name="_Toc16415"/>
      <w:bookmarkStart w:id="110" w:name="_Toc16276"/>
      <w:bookmarkStart w:id="111" w:name="_Toc27437"/>
      <w:bookmarkStart w:id="112" w:name="_Toc8052"/>
      <w:r>
        <w:rPr>
          <w:rFonts w:hint="eastAsia" w:ascii="仿宋_GB2312" w:hAnsi="仿宋_GB2312" w:eastAsia="仿宋_GB2312" w:cs="仿宋_GB2312"/>
          <w:bCs/>
          <w:sz w:val="28"/>
          <w:szCs w:val="28"/>
        </w:rPr>
        <w:t>统一社会信用代码：</w:t>
      </w:r>
      <w:bookmarkEnd w:id="106"/>
      <w:bookmarkEnd w:id="107"/>
      <w:bookmarkEnd w:id="108"/>
      <w:bookmarkEnd w:id="109"/>
      <w:bookmarkEnd w:id="110"/>
      <w:bookmarkEnd w:id="111"/>
      <w:bookmarkEnd w:id="112"/>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026A54CC">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sz w:val="28"/>
          <w:szCs w:val="28"/>
        </w:rPr>
      </w:pPr>
      <w:bookmarkStart w:id="113" w:name="_Toc5533"/>
      <w:bookmarkStart w:id="114" w:name="_Toc16967"/>
      <w:bookmarkStart w:id="115" w:name="_Toc20691"/>
      <w:bookmarkStart w:id="116" w:name="_Toc19708"/>
      <w:bookmarkStart w:id="117" w:name="_Toc16803"/>
      <w:bookmarkStart w:id="118" w:name="_Toc27073"/>
      <w:bookmarkStart w:id="119" w:name="_Toc9467"/>
      <w:r>
        <w:rPr>
          <w:rFonts w:hint="eastAsia" w:ascii="仿宋_GB2312" w:hAnsi="仿宋_GB2312" w:eastAsia="仿宋_GB2312" w:cs="仿宋_GB2312"/>
          <w:bCs/>
          <w:sz w:val="28"/>
          <w:szCs w:val="28"/>
        </w:rPr>
        <w:t>注册地址：</w:t>
      </w:r>
      <w:bookmarkEnd w:id="113"/>
      <w:bookmarkEnd w:id="114"/>
      <w:bookmarkEnd w:id="115"/>
      <w:bookmarkEnd w:id="116"/>
      <w:bookmarkEnd w:id="117"/>
      <w:bookmarkEnd w:id="118"/>
      <w:bookmarkEnd w:id="119"/>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6380AE6A">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sz w:val="28"/>
          <w:szCs w:val="28"/>
        </w:rPr>
      </w:pPr>
      <w:bookmarkStart w:id="120" w:name="_Toc14456"/>
      <w:bookmarkStart w:id="121" w:name="_Toc1906"/>
      <w:bookmarkStart w:id="122" w:name="_Toc19060"/>
      <w:bookmarkStart w:id="123" w:name="_Toc20462"/>
      <w:bookmarkStart w:id="124" w:name="_Toc18521"/>
      <w:bookmarkStart w:id="125" w:name="_Toc31866"/>
      <w:bookmarkStart w:id="126" w:name="_Toc9672"/>
      <w:r>
        <w:rPr>
          <w:rFonts w:hint="eastAsia" w:ascii="仿宋_GB2312" w:hAnsi="仿宋_GB2312" w:eastAsia="仿宋_GB2312" w:cs="仿宋_GB2312"/>
          <w:bCs/>
          <w:sz w:val="28"/>
          <w:szCs w:val="28"/>
        </w:rPr>
        <w:t>成立</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120"/>
      <w:bookmarkEnd w:id="121"/>
      <w:bookmarkEnd w:id="122"/>
      <w:bookmarkEnd w:id="123"/>
      <w:bookmarkEnd w:id="124"/>
      <w:bookmarkEnd w:id="125"/>
      <w:bookmarkEnd w:id="126"/>
    </w:p>
    <w:p w14:paraId="7437CA25">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sz w:val="28"/>
          <w:szCs w:val="28"/>
          <w:u w:val="single"/>
        </w:rPr>
      </w:pPr>
      <w:bookmarkStart w:id="127" w:name="_Toc26389"/>
      <w:bookmarkStart w:id="128" w:name="_Toc1808"/>
      <w:bookmarkStart w:id="129" w:name="_Toc15472"/>
      <w:bookmarkStart w:id="130" w:name="_Toc7221"/>
      <w:bookmarkStart w:id="131" w:name="_Toc29468"/>
      <w:bookmarkStart w:id="132" w:name="_Toc6517"/>
      <w:bookmarkStart w:id="133" w:name="_Toc15758"/>
      <w:r>
        <w:rPr>
          <w:rFonts w:hint="eastAsia" w:ascii="仿宋_GB2312" w:hAnsi="仿宋_GB2312" w:eastAsia="仿宋_GB2312" w:cs="仿宋_GB2312"/>
          <w:sz w:val="28"/>
          <w:szCs w:val="28"/>
        </w:rPr>
        <w:t>经营范围：</w:t>
      </w:r>
      <w:bookmarkEnd w:id="127"/>
      <w:bookmarkEnd w:id="128"/>
      <w:bookmarkEnd w:id="129"/>
      <w:bookmarkEnd w:id="130"/>
      <w:bookmarkEnd w:id="131"/>
      <w:bookmarkEnd w:id="132"/>
      <w:bookmarkEnd w:id="133"/>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CE9828F">
      <w:pPr>
        <w:widowControl w:val="0"/>
        <w:numPr>
          <w:ilvl w:val="0"/>
          <w:numId w:val="0"/>
        </w:numPr>
        <w:tabs>
          <w:tab w:val="left" w:pos="630"/>
          <w:tab w:val="left" w:pos="7665"/>
        </w:tabs>
        <w:spacing w:line="576" w:lineRule="exact"/>
        <w:ind w:left="0" w:leftChars="0" w:firstLine="560" w:firstLineChars="200"/>
        <w:jc w:val="both"/>
        <w:rPr>
          <w:rFonts w:hint="eastAsia" w:ascii="仿宋_GB2312" w:hAnsi="仿宋_GB2312" w:eastAsia="仿宋_GB2312" w:cs="仿宋_GB2312"/>
          <w:sz w:val="28"/>
          <w:szCs w:val="28"/>
        </w:rPr>
      </w:pPr>
      <w:bookmarkStart w:id="134" w:name="_Toc24850"/>
      <w:bookmarkStart w:id="135" w:name="_Toc13816"/>
      <w:bookmarkStart w:id="136" w:name="_Toc16131"/>
      <w:bookmarkStart w:id="137" w:name="_Toc1202"/>
      <w:bookmarkStart w:id="138" w:name="_Toc26682"/>
      <w:bookmarkStart w:id="139" w:name="_Toc9944"/>
      <w:bookmarkStart w:id="140" w:name="_Toc25002"/>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系</w:t>
      </w:r>
      <w:r>
        <w:rPr>
          <w:rFonts w:hint="eastAsia" w:ascii="仿宋_GB2312" w:hAnsi="仿宋_GB2312" w:eastAsia="仿宋_GB2312" w:cs="仿宋_GB2312"/>
          <w:bCs/>
          <w:sz w:val="28"/>
          <w:szCs w:val="28"/>
          <w:u w:val="none"/>
          <w:lang w:val="en-US" w:eastAsia="zh-CN"/>
        </w:rPr>
        <w:t xml:space="preserve">                        </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供应商名称）的法定代表人。</w:t>
      </w:r>
      <w:bookmarkEnd w:id="134"/>
      <w:bookmarkEnd w:id="135"/>
      <w:bookmarkEnd w:id="136"/>
      <w:bookmarkEnd w:id="137"/>
      <w:bookmarkEnd w:id="138"/>
      <w:bookmarkEnd w:id="139"/>
      <w:bookmarkEnd w:id="140"/>
    </w:p>
    <w:p w14:paraId="1B9525CE">
      <w:pPr>
        <w:spacing w:line="240" w:lineRule="auto"/>
        <w:ind w:firstLine="0"/>
        <w:jc w:val="left"/>
        <w:rPr>
          <w:rFonts w:hint="eastAsia" w:ascii="仿宋_GB2312" w:hAnsi="仿宋_GB2312" w:eastAsia="仿宋_GB2312" w:cs="仿宋_GB2312"/>
          <w:sz w:val="28"/>
          <w:szCs w:val="28"/>
        </w:rPr>
      </w:pPr>
      <w:bookmarkStart w:id="141" w:name="_Toc11064"/>
      <w:bookmarkStart w:id="142" w:name="_Toc25522"/>
      <w:bookmarkStart w:id="143" w:name="_Toc509"/>
      <w:bookmarkStart w:id="144" w:name="_Toc8767"/>
      <w:bookmarkStart w:id="145" w:name="_Toc6237"/>
      <w:bookmarkStart w:id="146" w:name="_Toc20243"/>
    </w:p>
    <w:p w14:paraId="4228F430">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color w:val="auto"/>
          <w:sz w:val="28"/>
          <w:szCs w:val="28"/>
        </w:rPr>
      </w:pPr>
      <w:bookmarkStart w:id="147" w:name="_Toc32063"/>
      <w:r>
        <w:rPr>
          <w:rFonts w:hint="eastAsia" w:ascii="仿宋_GB2312" w:hAnsi="仿宋_GB2312" w:eastAsia="仿宋_GB2312" w:cs="仿宋_GB2312"/>
          <w:color w:val="auto"/>
          <w:sz w:val="28"/>
          <w:szCs w:val="28"/>
        </w:rPr>
        <w:t>特此证明。</w:t>
      </w:r>
      <w:bookmarkEnd w:id="141"/>
      <w:bookmarkEnd w:id="142"/>
      <w:bookmarkEnd w:id="143"/>
      <w:bookmarkEnd w:id="144"/>
      <w:bookmarkEnd w:id="145"/>
      <w:bookmarkEnd w:id="146"/>
      <w:bookmarkEnd w:id="147"/>
    </w:p>
    <w:p w14:paraId="1DD50E47">
      <w:pPr>
        <w:spacing w:line="460" w:lineRule="exact"/>
        <w:ind w:firstLine="570"/>
        <w:jc w:val="both"/>
        <w:rPr>
          <w:rFonts w:hint="eastAsia" w:ascii="仿宋_GB2312" w:hAnsi="仿宋_GB2312" w:eastAsia="仿宋_GB2312" w:cs="仿宋_GB2312"/>
          <w:color w:val="auto"/>
          <w:sz w:val="28"/>
          <w:szCs w:val="28"/>
        </w:rPr>
      </w:pPr>
    </w:p>
    <w:p w14:paraId="04FC8EB6">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color w:val="auto"/>
          <w:sz w:val="28"/>
          <w:szCs w:val="28"/>
          <w:u w:val="single"/>
        </w:rPr>
      </w:pPr>
      <w:bookmarkStart w:id="148" w:name="_Toc17153"/>
      <w:bookmarkStart w:id="149" w:name="_Toc29748"/>
      <w:bookmarkStart w:id="150" w:name="_Toc13780"/>
      <w:bookmarkStart w:id="151" w:name="_Toc6447"/>
      <w:r>
        <w:rPr>
          <w:rFonts w:hint="eastAsia" w:ascii="仿宋_GB2312" w:hAnsi="仿宋_GB2312" w:eastAsia="仿宋_GB2312" w:cs="仿宋_GB2312"/>
          <w:color w:val="auto"/>
          <w:sz w:val="28"/>
          <w:szCs w:val="28"/>
        </w:rPr>
        <w:t>供应商名称（盖章）：</w:t>
      </w:r>
      <w:bookmarkEnd w:id="148"/>
      <w:bookmarkEnd w:id="149"/>
      <w:bookmarkEnd w:id="150"/>
      <w:bookmarkEnd w:id="151"/>
      <w:bookmarkStart w:id="152" w:name="_Toc19946"/>
      <w:bookmarkStart w:id="153" w:name="_Toc18783"/>
      <w:bookmarkStart w:id="154" w:name="_Toc19801"/>
      <w:bookmarkStart w:id="155" w:name="_Toc7158"/>
      <w:r>
        <w:rPr>
          <w:rFonts w:hint="eastAsia" w:ascii="仿宋_GB2312" w:hAnsi="仿宋_GB2312" w:eastAsia="仿宋_GB2312" w:cs="仿宋_GB2312"/>
          <w:color w:val="auto"/>
          <w:sz w:val="28"/>
          <w:szCs w:val="28"/>
          <w:u w:val="single"/>
        </w:rPr>
        <w:t xml:space="preserve">         </w:t>
      </w:r>
    </w:p>
    <w:p w14:paraId="2F094207">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  期：</w:t>
      </w:r>
      <w:bookmarkEnd w:id="152"/>
      <w:bookmarkEnd w:id="153"/>
      <w:bookmarkEnd w:id="154"/>
      <w:bookmarkEnd w:id="155"/>
      <w:r>
        <w:rPr>
          <w:rFonts w:hint="eastAsia" w:ascii="仿宋_GB2312" w:hAnsi="仿宋_GB2312" w:eastAsia="仿宋_GB2312" w:cs="仿宋_GB2312"/>
          <w:color w:val="auto"/>
          <w:sz w:val="28"/>
          <w:szCs w:val="28"/>
          <w:u w:val="single"/>
        </w:rPr>
        <w:t xml:space="preserve">                     </w:t>
      </w:r>
    </w:p>
    <w:p w14:paraId="7D3F61D2">
      <w:pPr>
        <w:spacing w:line="460" w:lineRule="exact"/>
        <w:ind w:firstLine="570"/>
        <w:jc w:val="both"/>
        <w:rPr>
          <w:rFonts w:hint="eastAsia" w:ascii="仿宋_GB2312" w:hAnsi="仿宋_GB2312" w:eastAsia="仿宋_GB2312" w:cs="仿宋_GB2312"/>
          <w:color w:val="auto"/>
          <w:sz w:val="28"/>
          <w:szCs w:val="28"/>
        </w:rPr>
      </w:pPr>
    </w:p>
    <w:p w14:paraId="0545E9A0">
      <w:pPr>
        <w:spacing w:line="460" w:lineRule="exact"/>
        <w:ind w:firstLine="570"/>
        <w:jc w:val="both"/>
        <w:rPr>
          <w:rFonts w:hint="eastAsia" w:ascii="仿宋_GB2312" w:hAnsi="仿宋_GB2312" w:eastAsia="仿宋_GB2312" w:cs="仿宋_GB2312"/>
          <w:color w:val="auto"/>
          <w:sz w:val="28"/>
          <w:szCs w:val="28"/>
        </w:rPr>
      </w:pPr>
    </w:p>
    <w:p w14:paraId="3A10A16A">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color w:val="auto"/>
          <w:sz w:val="28"/>
          <w:szCs w:val="28"/>
        </w:rPr>
      </w:pPr>
      <w:bookmarkStart w:id="156" w:name="_Toc2848"/>
      <w:bookmarkStart w:id="157" w:name="_Toc29172"/>
      <w:bookmarkStart w:id="158" w:name="_Toc31410"/>
      <w:bookmarkStart w:id="159" w:name="_Toc31642"/>
      <w:bookmarkStart w:id="160" w:name="_Toc15640"/>
      <w:bookmarkStart w:id="161" w:name="_Toc13260"/>
      <w:bookmarkStart w:id="162" w:name="_Toc31381"/>
      <w:r>
        <w:rPr>
          <w:rFonts w:hint="eastAsia" w:ascii="仿宋_GB2312" w:hAnsi="仿宋_GB2312" w:eastAsia="仿宋_GB2312" w:cs="仿宋_GB2312"/>
          <w:color w:val="auto"/>
          <w:sz w:val="28"/>
          <w:szCs w:val="28"/>
        </w:rPr>
        <w:t>附：法定代表人身份证复印件</w:t>
      </w:r>
      <w:bookmarkEnd w:id="156"/>
      <w:bookmarkEnd w:id="157"/>
      <w:bookmarkEnd w:id="158"/>
      <w:bookmarkEnd w:id="159"/>
      <w:bookmarkEnd w:id="160"/>
      <w:bookmarkEnd w:id="161"/>
      <w:bookmarkEnd w:id="162"/>
      <w:bookmarkStart w:id="163" w:name="_Toc10594"/>
      <w:bookmarkStart w:id="164" w:name="_Toc27522"/>
      <w:bookmarkStart w:id="165" w:name="_Toc14645"/>
    </w:p>
    <w:p w14:paraId="7960A699">
      <w:pPr>
        <w:spacing w:line="460" w:lineRule="exact"/>
        <w:ind w:firstLine="570"/>
        <w:jc w:val="both"/>
        <w:rPr>
          <w:rFonts w:ascii="仿宋_GB2312" w:hAnsi="仿宋_GB2312" w:eastAsia="仿宋_GB2312" w:cs="仿宋_GB2312"/>
          <w:color w:val="auto"/>
          <w:sz w:val="28"/>
          <w:szCs w:val="28"/>
        </w:rPr>
      </w:pPr>
    </w:p>
    <w:p w14:paraId="34D9A835">
      <w:pPr>
        <w:spacing w:line="460" w:lineRule="exact"/>
        <w:ind w:firstLine="570"/>
        <w:jc w:val="both"/>
        <w:rPr>
          <w:rFonts w:ascii="仿宋_GB2312" w:hAnsi="仿宋_GB2312" w:eastAsia="仿宋_GB2312" w:cs="仿宋_GB2312"/>
          <w:color w:val="auto"/>
          <w:sz w:val="28"/>
          <w:szCs w:val="28"/>
        </w:rPr>
      </w:pPr>
    </w:p>
    <w:p w14:paraId="4BA771BB">
      <w:pPr>
        <w:spacing w:line="460" w:lineRule="exact"/>
        <w:ind w:firstLine="570"/>
        <w:jc w:val="both"/>
        <w:rPr>
          <w:rFonts w:ascii="仿宋_GB2312" w:hAnsi="仿宋_GB2312" w:eastAsia="仿宋_GB2312" w:cs="仿宋_GB2312"/>
          <w:color w:val="auto"/>
          <w:sz w:val="28"/>
          <w:szCs w:val="28"/>
        </w:rPr>
      </w:pPr>
    </w:p>
    <w:p w14:paraId="7CD337A5">
      <w:pPr>
        <w:outlineLvl w:val="9"/>
        <w:rPr>
          <w:rFonts w:ascii="仿宋_GB2312" w:hAnsi="仿宋_GB2312" w:eastAsia="仿宋_GB2312" w:cs="仿宋_GB2312"/>
          <w:color w:val="auto"/>
          <w:sz w:val="28"/>
          <w:szCs w:val="28"/>
        </w:rPr>
      </w:pPr>
    </w:p>
    <w:p w14:paraId="7A78882A">
      <w:pPr>
        <w:rPr>
          <w:rFonts w:ascii="仿宋_GB2312" w:hAnsi="仿宋_GB2312" w:eastAsia="仿宋_GB2312" w:cs="仿宋_GB2312"/>
          <w:color w:val="auto"/>
          <w:sz w:val="28"/>
          <w:szCs w:val="28"/>
        </w:rPr>
      </w:pPr>
    </w:p>
    <w:p w14:paraId="613614C0">
      <w:pPr>
        <w:keepNext w:val="0"/>
        <w:keepLines w:val="0"/>
        <w:numPr>
          <w:ilvl w:val="0"/>
          <w:numId w:val="0"/>
        </w:numPr>
        <w:spacing w:before="0" w:after="0" w:line="576" w:lineRule="exact"/>
        <w:ind w:firstLine="640" w:firstLineChars="200"/>
        <w:jc w:val="both"/>
        <w:rPr>
          <w:rFonts w:hint="eastAsia" w:ascii="黑体" w:hAnsi="宋体" w:eastAsia="黑体" w:cs="黑体"/>
          <w:b w:val="0"/>
          <w:bCs w:val="0"/>
          <w:iCs w:val="0"/>
          <w:color w:val="000000"/>
          <w:kern w:val="2"/>
          <w:sz w:val="32"/>
          <w:szCs w:val="32"/>
          <w:lang w:val="en-US" w:eastAsia="zh-CN" w:bidi="ar"/>
        </w:rPr>
      </w:pPr>
    </w:p>
    <w:p w14:paraId="22472CB2">
      <w:pPr>
        <w:keepNext w:val="0"/>
        <w:keepLines w:val="0"/>
        <w:numPr>
          <w:ilvl w:val="0"/>
          <w:numId w:val="0"/>
        </w:numPr>
        <w:spacing w:before="0" w:after="0" w:line="576" w:lineRule="exact"/>
        <w:ind w:firstLine="640" w:firstLineChars="200"/>
        <w:jc w:val="both"/>
        <w:rPr>
          <w:rFonts w:hint="eastAsia" w:ascii="黑体" w:hAnsi="宋体" w:eastAsia="黑体" w:cs="黑体"/>
          <w:b w:val="0"/>
          <w:bCs w:val="0"/>
          <w:iCs w:val="0"/>
          <w:color w:val="000000"/>
          <w:kern w:val="2"/>
          <w:sz w:val="32"/>
          <w:szCs w:val="32"/>
          <w:lang w:val="en-US" w:eastAsia="zh-CN" w:bidi="ar"/>
        </w:rPr>
      </w:pPr>
    </w:p>
    <w:p w14:paraId="7C8F572F">
      <w:pPr>
        <w:keepNext w:val="0"/>
        <w:keepLines w:val="0"/>
        <w:numPr>
          <w:ilvl w:val="0"/>
          <w:numId w:val="0"/>
        </w:numPr>
        <w:spacing w:before="0" w:after="0" w:line="576" w:lineRule="exact"/>
        <w:ind w:firstLine="2240" w:firstLineChars="700"/>
        <w:jc w:val="both"/>
        <w:outlineLvl w:val="9"/>
        <w:rPr>
          <w:rStyle w:val="25"/>
          <w:rFonts w:hint="eastAsia" w:ascii="黑体" w:hAnsi="宋体" w:eastAsia="黑体" w:cs="黑体"/>
          <w:b w:val="0"/>
          <w:bCs w:val="0"/>
          <w:iCs w:val="0"/>
          <w:color w:val="000000"/>
          <w:kern w:val="2"/>
          <w:sz w:val="32"/>
          <w:szCs w:val="32"/>
          <w:lang w:val="en-US" w:eastAsia="zh-CN" w:bidi="ar"/>
        </w:rPr>
      </w:pPr>
    </w:p>
    <w:p w14:paraId="2A2F2FEC">
      <w:pPr>
        <w:keepNext w:val="0"/>
        <w:keepLines w:val="0"/>
        <w:numPr>
          <w:ilvl w:val="0"/>
          <w:numId w:val="0"/>
        </w:numPr>
        <w:spacing w:before="0" w:after="0" w:line="576" w:lineRule="exact"/>
        <w:ind w:firstLine="2240" w:firstLineChars="700"/>
        <w:jc w:val="both"/>
        <w:outlineLvl w:val="1"/>
        <w:rPr>
          <w:rStyle w:val="25"/>
          <w:rFonts w:hint="eastAsia" w:ascii="黑体" w:hAnsi="宋体" w:eastAsia="黑体" w:cs="黑体"/>
          <w:b w:val="0"/>
          <w:bCs w:val="0"/>
          <w:iCs w:val="0"/>
          <w:color w:val="000000"/>
          <w:kern w:val="2"/>
          <w:sz w:val="32"/>
          <w:szCs w:val="32"/>
          <w:lang w:bidi="ar"/>
        </w:rPr>
      </w:pPr>
      <w:r>
        <w:rPr>
          <w:rStyle w:val="25"/>
          <w:rFonts w:hint="eastAsia" w:ascii="黑体" w:hAnsi="宋体" w:eastAsia="黑体" w:cs="黑体"/>
          <w:b w:val="0"/>
          <w:bCs w:val="0"/>
          <w:iCs w:val="0"/>
          <w:color w:val="000000"/>
          <w:kern w:val="2"/>
          <w:sz w:val="32"/>
          <w:szCs w:val="32"/>
          <w:lang w:val="en-US" w:eastAsia="zh-CN" w:bidi="ar"/>
        </w:rPr>
        <w:t>三、</w:t>
      </w:r>
      <w:r>
        <w:rPr>
          <w:rStyle w:val="25"/>
          <w:rFonts w:hint="eastAsia" w:ascii="黑体" w:hAnsi="宋体" w:eastAsia="黑体" w:cs="黑体"/>
          <w:b w:val="0"/>
          <w:bCs w:val="0"/>
          <w:iCs w:val="0"/>
          <w:color w:val="000000"/>
          <w:kern w:val="2"/>
          <w:sz w:val="32"/>
          <w:szCs w:val="32"/>
          <w:lang w:bidi="ar"/>
        </w:rPr>
        <w:t>法人授权声明书</w:t>
      </w:r>
      <w:bookmarkEnd w:id="163"/>
      <w:bookmarkEnd w:id="164"/>
      <w:bookmarkEnd w:id="165"/>
    </w:p>
    <w:p w14:paraId="7741D298">
      <w:pPr>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i/>
          <w:iCs/>
          <w:color w:val="auto"/>
          <w:sz w:val="28"/>
          <w:szCs w:val="28"/>
          <w:u w:val="single"/>
        </w:rPr>
        <w:t>（采购人）</w:t>
      </w:r>
      <w:r>
        <w:rPr>
          <w:rFonts w:hint="eastAsia" w:ascii="仿宋_GB2312" w:hAnsi="仿宋_GB2312" w:eastAsia="仿宋_GB2312" w:cs="仿宋_GB2312"/>
          <w:color w:val="auto"/>
          <w:sz w:val="28"/>
          <w:szCs w:val="28"/>
        </w:rPr>
        <w:t>：</w:t>
      </w:r>
    </w:p>
    <w:p w14:paraId="430A7F6A">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本授权声明：</w:t>
      </w:r>
      <w:r>
        <w:rPr>
          <w:rFonts w:hint="eastAsia" w:ascii="仿宋_GB2312" w:hAnsi="仿宋_GB2312" w:eastAsia="仿宋_GB2312" w:cs="仿宋_GB2312"/>
          <w:i/>
          <w:iCs/>
          <w:color w:val="auto"/>
          <w:sz w:val="28"/>
          <w:szCs w:val="28"/>
          <w:u w:val="single"/>
        </w:rPr>
        <w:t>（供应商名称、法定代表人姓名）</w:t>
      </w: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i/>
          <w:iCs/>
          <w:color w:val="auto"/>
          <w:sz w:val="28"/>
          <w:szCs w:val="28"/>
          <w:u w:val="single"/>
        </w:rPr>
        <w:t>（被授权人姓名、职务）</w:t>
      </w:r>
      <w:r>
        <w:rPr>
          <w:rFonts w:hint="eastAsia" w:ascii="仿宋_GB2312" w:hAnsi="仿宋_GB2312" w:eastAsia="仿宋_GB2312" w:cs="仿宋_GB2312"/>
          <w:bCs/>
          <w:color w:val="auto"/>
          <w:sz w:val="28"/>
          <w:szCs w:val="28"/>
        </w:rPr>
        <w:t xml:space="preserve">为我方“ </w:t>
      </w:r>
      <w:r>
        <w:rPr>
          <w:rFonts w:hint="eastAsia" w:ascii="仿宋_GB2312" w:hAnsi="仿宋_GB2312" w:eastAsia="仿宋_GB2312" w:cs="仿宋_GB2312"/>
          <w:bCs/>
          <w:color w:val="auto"/>
          <w:sz w:val="28"/>
          <w:szCs w:val="28"/>
          <w:u w:val="none"/>
        </w:rPr>
        <w:t xml:space="preserve">   </w:t>
      </w:r>
      <w:r>
        <w:rPr>
          <w:rFonts w:hint="eastAsia" w:ascii="仿宋_GB2312" w:hAnsi="仿宋_GB2312" w:eastAsia="仿宋_GB2312" w:cs="仿宋_GB2312"/>
          <w:bCs/>
          <w:color w:val="auto"/>
          <w:sz w:val="28"/>
          <w:szCs w:val="28"/>
        </w:rPr>
        <w:t>项目”谈判活动的合法代表，以我方名义全权处理该项目有关谈判、签订合同、合同执行等一切事宜，我方均予认可并承担相应的法律责任。</w:t>
      </w:r>
    </w:p>
    <w:p w14:paraId="1DFFC9BC">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14:paraId="07CC5435">
      <w:pPr>
        <w:pStyle w:val="33"/>
        <w:spacing w:line="560" w:lineRule="exact"/>
        <w:rPr>
          <w:rFonts w:hint="eastAsia" w:ascii="仿宋_GB2312" w:hAnsi="仿宋_GB2312" w:eastAsia="仿宋_GB2312" w:cs="仿宋_GB2312"/>
          <w:color w:val="auto"/>
          <w:sz w:val="28"/>
          <w:szCs w:val="28"/>
        </w:rPr>
      </w:pPr>
    </w:p>
    <w:p w14:paraId="5AE3F98A">
      <w:pPr>
        <w:rPr>
          <w:rFonts w:hint="eastAsia" w:ascii="仿宋_GB2312" w:hAnsi="仿宋_GB2312" w:eastAsia="仿宋_GB2312" w:cs="仿宋_GB2312"/>
          <w:color w:val="auto"/>
          <w:sz w:val="28"/>
          <w:szCs w:val="28"/>
        </w:rPr>
      </w:pPr>
    </w:p>
    <w:p w14:paraId="14B3123E">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法定代表人签字：</w:t>
      </w:r>
    </w:p>
    <w:p w14:paraId="3A6A3C77">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授权代表人签字：</w:t>
      </w:r>
    </w:p>
    <w:p w14:paraId="4C31A5AE">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u w:val="none"/>
        </w:rPr>
      </w:pPr>
      <w:r>
        <w:rPr>
          <w:rFonts w:hint="eastAsia" w:ascii="仿宋_GB2312" w:hAnsi="仿宋_GB2312" w:eastAsia="仿宋_GB2312" w:cs="仿宋_GB2312"/>
          <w:bCs/>
          <w:color w:val="auto"/>
          <w:sz w:val="28"/>
          <w:szCs w:val="28"/>
        </w:rPr>
        <w:t>供应商名称（盖章）：</w:t>
      </w:r>
      <w:r>
        <w:rPr>
          <w:rFonts w:hint="eastAsia" w:ascii="仿宋_GB2312" w:hAnsi="仿宋_GB2312" w:eastAsia="仿宋_GB2312" w:cs="仿宋_GB2312"/>
          <w:bCs/>
          <w:color w:val="auto"/>
          <w:sz w:val="28"/>
          <w:szCs w:val="28"/>
          <w:u w:val="none"/>
        </w:rPr>
        <w:t xml:space="preserve">          </w:t>
      </w:r>
    </w:p>
    <w:p w14:paraId="2B5ACE9C">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          期：</w:t>
      </w:r>
      <w:r>
        <w:rPr>
          <w:rFonts w:hint="eastAsia" w:ascii="仿宋_GB2312" w:hAnsi="仿宋_GB2312" w:eastAsia="仿宋_GB2312" w:cs="仿宋_GB2312"/>
          <w:bCs/>
          <w:color w:val="auto"/>
          <w:sz w:val="28"/>
          <w:szCs w:val="28"/>
          <w:u w:val="none"/>
        </w:rPr>
        <w:t xml:space="preserve">  </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u w:val="none"/>
        </w:rPr>
        <w:t xml:space="preserve">  </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u w:val="none"/>
        </w:rPr>
        <w:t xml:space="preserve">  </w:t>
      </w:r>
      <w:r>
        <w:rPr>
          <w:rFonts w:hint="eastAsia" w:ascii="仿宋_GB2312" w:hAnsi="仿宋_GB2312" w:eastAsia="仿宋_GB2312" w:cs="仿宋_GB2312"/>
          <w:bCs/>
          <w:color w:val="auto"/>
          <w:sz w:val="28"/>
          <w:szCs w:val="28"/>
        </w:rPr>
        <w:t>日</w:t>
      </w:r>
    </w:p>
    <w:p w14:paraId="3EC45564">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p>
    <w:p w14:paraId="13E47A4B">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附：法定代表人、被授权人身份证复印件</w:t>
      </w:r>
    </w:p>
    <w:p w14:paraId="78A8BD08">
      <w:pPr>
        <w:spacing w:line="360" w:lineRule="auto"/>
        <w:rPr>
          <w:rFonts w:ascii="Times New Roman"/>
          <w:color w:val="auto"/>
        </w:rPr>
      </w:pPr>
    </w:p>
    <w:p w14:paraId="513ABC3D">
      <w:pPr>
        <w:snapToGrid w:val="0"/>
        <w:spacing w:line="460" w:lineRule="exact"/>
        <w:rPr>
          <w:rFonts w:ascii="Times New Roman"/>
          <w:snapToGrid w:val="0"/>
          <w:color w:val="auto"/>
          <w:sz w:val="24"/>
        </w:rPr>
      </w:pPr>
    </w:p>
    <w:p w14:paraId="75FB4D58">
      <w:pPr>
        <w:snapToGrid w:val="0"/>
        <w:spacing w:line="460" w:lineRule="exact"/>
        <w:ind w:firstLine="480"/>
        <w:rPr>
          <w:rFonts w:ascii="Times New Roman"/>
          <w:snapToGrid w:val="0"/>
          <w:color w:val="auto"/>
          <w:sz w:val="24"/>
        </w:rPr>
      </w:pPr>
    </w:p>
    <w:p w14:paraId="239CA165">
      <w:pPr>
        <w:snapToGrid w:val="0"/>
        <w:spacing w:line="460" w:lineRule="exact"/>
        <w:ind w:firstLine="0"/>
        <w:rPr>
          <w:rFonts w:ascii="Times New Roman"/>
          <w:color w:val="auto"/>
          <w:sz w:val="20"/>
        </w:rPr>
      </w:pPr>
    </w:p>
    <w:p w14:paraId="36F93724">
      <w:pPr>
        <w:pStyle w:val="3"/>
        <w:rPr>
          <w:rFonts w:hint="eastAsia" w:ascii="黑体" w:hAnsi="黑体" w:eastAsia="黑体" w:cs="黑体"/>
          <w:b w:val="0"/>
          <w:bCs w:val="0"/>
          <w:iCs w:val="0"/>
          <w:color w:val="auto"/>
          <w:sz w:val="30"/>
          <w:szCs w:val="30"/>
        </w:rPr>
        <w:sectPr>
          <w:pgSz w:w="11905" w:h="16838"/>
          <w:pgMar w:top="1984" w:right="1871" w:bottom="1984" w:left="1871" w:header="851" w:footer="850" w:gutter="0"/>
          <w:pgNumType w:fmt="chineseCounting"/>
          <w:cols w:space="720" w:num="1"/>
          <w:docGrid w:linePitch="482" w:charSpace="0"/>
        </w:sectPr>
      </w:pPr>
      <w:bookmarkStart w:id="166" w:name="_Toc9887"/>
      <w:bookmarkStart w:id="167" w:name="_Toc439772550"/>
      <w:bookmarkStart w:id="168" w:name="_Toc17806"/>
      <w:bookmarkStart w:id="169" w:name="_Toc435001456"/>
      <w:bookmarkStart w:id="170" w:name="_Toc5735"/>
      <w:bookmarkStart w:id="171" w:name="_Toc217446085"/>
    </w:p>
    <w:p w14:paraId="14293D29">
      <w:pPr>
        <w:keepNext w:val="0"/>
        <w:keepLines w:val="0"/>
        <w:numPr>
          <w:ilvl w:val="0"/>
          <w:numId w:val="0"/>
        </w:numPr>
        <w:spacing w:before="0" w:after="0" w:line="576" w:lineRule="exact"/>
        <w:ind w:firstLine="2380" w:firstLineChars="700"/>
        <w:jc w:val="both"/>
        <w:outlineLvl w:val="1"/>
        <w:rPr>
          <w:rStyle w:val="25"/>
        </w:rPr>
      </w:pPr>
      <w:r>
        <w:rPr>
          <w:rStyle w:val="25"/>
        </w:rPr>
        <w:t>四、报价一览表</w:t>
      </w:r>
      <w:bookmarkEnd w:id="166"/>
      <w:bookmarkEnd w:id="167"/>
      <w:bookmarkEnd w:id="168"/>
      <w:bookmarkEnd w:id="169"/>
      <w:bookmarkEnd w:id="170"/>
      <w:bookmarkEnd w:id="171"/>
    </w:p>
    <w:p w14:paraId="5012C162">
      <w:pPr>
        <w:widowControl w:val="0"/>
        <w:spacing w:line="576" w:lineRule="exact"/>
        <w:ind w:firstLine="560" w:firstLineChars="200"/>
        <w:jc w:val="both"/>
        <w:rPr>
          <w:rFonts w:hint="eastAsia" w:ascii="仿宋_GB2312" w:hAnsi="仿宋_GB2312" w:eastAsia="仿宋_GB2312" w:cs="仿宋_GB2312"/>
          <w:color w:val="auto"/>
          <w:sz w:val="28"/>
          <w:szCs w:val="28"/>
        </w:rPr>
      </w:pPr>
      <w:bookmarkStart w:id="172" w:name="_Toc1834"/>
      <w:bookmarkStart w:id="173" w:name="_Toc439772552"/>
      <w:bookmarkStart w:id="174" w:name="_Toc435001458"/>
      <w:bookmarkStart w:id="175" w:name="_Toc217446089"/>
      <w:r>
        <w:rPr>
          <w:rFonts w:hint="eastAsia" w:ascii="仿宋_GB2312" w:hAnsi="仿宋_GB2312" w:eastAsia="仿宋_GB2312" w:cs="仿宋_GB2312"/>
          <w:color w:val="auto"/>
          <w:sz w:val="28"/>
          <w:szCs w:val="28"/>
        </w:rPr>
        <w:t>项目名称：</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396"/>
        <w:gridCol w:w="2527"/>
        <w:gridCol w:w="1828"/>
        <w:gridCol w:w="864"/>
      </w:tblGrid>
      <w:tr w14:paraId="47D8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54" w:type="pct"/>
            <w:noWrap w:val="0"/>
            <w:vAlign w:val="center"/>
          </w:tcPr>
          <w:p w14:paraId="134E182E">
            <w:pPr>
              <w:snapToGrid w:val="0"/>
              <w:spacing w:line="280" w:lineRule="exact"/>
              <w:ind w:firstLine="0" w:firstLineChars="0"/>
              <w:jc w:val="center"/>
              <w:textAlignment w:val="baseline"/>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包号</w:t>
            </w:r>
          </w:p>
        </w:tc>
        <w:tc>
          <w:tcPr>
            <w:tcW w:w="1430" w:type="pct"/>
            <w:noWrap w:val="0"/>
            <w:vAlign w:val="center"/>
          </w:tcPr>
          <w:p w14:paraId="25E114DC">
            <w:pPr>
              <w:snapToGrid w:val="0"/>
              <w:spacing w:line="280" w:lineRule="exact"/>
              <w:ind w:firstLine="0" w:firstLineChars="0"/>
              <w:jc w:val="center"/>
              <w:textAlignment w:val="baseline"/>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项目内容</w:t>
            </w:r>
          </w:p>
        </w:tc>
        <w:tc>
          <w:tcPr>
            <w:tcW w:w="1508" w:type="pct"/>
            <w:noWrap w:val="0"/>
            <w:vAlign w:val="center"/>
          </w:tcPr>
          <w:p w14:paraId="260C1533">
            <w:pPr>
              <w:spacing w:line="280" w:lineRule="exact"/>
              <w:ind w:firstLine="0" w:firstLineChars="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总价（人民币/元）</w:t>
            </w:r>
          </w:p>
        </w:tc>
        <w:tc>
          <w:tcPr>
            <w:tcW w:w="1091" w:type="pct"/>
            <w:noWrap w:val="0"/>
            <w:vAlign w:val="center"/>
          </w:tcPr>
          <w:p w14:paraId="5A751741">
            <w:pPr>
              <w:spacing w:line="280" w:lineRule="exact"/>
              <w:ind w:firstLine="0" w:firstLineChars="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合同履行期限</w:t>
            </w:r>
          </w:p>
        </w:tc>
        <w:tc>
          <w:tcPr>
            <w:tcW w:w="515" w:type="pct"/>
            <w:noWrap w:val="0"/>
            <w:vAlign w:val="center"/>
          </w:tcPr>
          <w:p w14:paraId="5EB765B6">
            <w:pPr>
              <w:spacing w:line="280" w:lineRule="exact"/>
              <w:ind w:firstLine="0" w:firstLineChars="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tc>
      </w:tr>
      <w:tr w14:paraId="6F1F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454" w:type="pct"/>
            <w:shd w:val="solid" w:color="FFFFFF" w:fill="auto"/>
            <w:noWrap w:val="0"/>
            <w:vAlign w:val="center"/>
          </w:tcPr>
          <w:p w14:paraId="75B46AFF">
            <w:pPr>
              <w:shd w:val="solid" w:color="FFFFFF" w:fill="auto"/>
              <w:autoSpaceDN w:val="0"/>
              <w:spacing w:line="280" w:lineRule="exact"/>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项目本身</w:t>
            </w:r>
          </w:p>
        </w:tc>
        <w:tc>
          <w:tcPr>
            <w:tcW w:w="1430" w:type="pct"/>
            <w:shd w:val="solid" w:color="FFFFFF" w:fill="auto"/>
            <w:noWrap w:val="0"/>
            <w:vAlign w:val="center"/>
          </w:tcPr>
          <w:p w14:paraId="5A91C935">
            <w:pPr>
              <w:spacing w:line="280" w:lineRule="exact"/>
              <w:ind w:firstLine="0" w:firstLineChars="0"/>
              <w:jc w:val="center"/>
              <w:rPr>
                <w:rFonts w:hint="eastAsia" w:ascii="仿宋_GB2312" w:hAnsi="仿宋_GB2312" w:eastAsia="仿宋_GB2312" w:cs="仿宋_GB2312"/>
                <w:color w:val="auto"/>
                <w:sz w:val="28"/>
                <w:szCs w:val="28"/>
              </w:rPr>
            </w:pPr>
          </w:p>
        </w:tc>
        <w:tc>
          <w:tcPr>
            <w:tcW w:w="1508" w:type="pct"/>
            <w:shd w:val="solid" w:color="FFFFFF" w:fill="auto"/>
            <w:noWrap w:val="0"/>
            <w:vAlign w:val="center"/>
          </w:tcPr>
          <w:p w14:paraId="564AF9B6">
            <w:pPr>
              <w:shd w:val="solid" w:color="FFFFFF" w:fill="auto"/>
              <w:autoSpaceDN w:val="0"/>
              <w:spacing w:line="280" w:lineRule="exact"/>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大写：</w:t>
            </w:r>
          </w:p>
          <w:p w14:paraId="49F984D7">
            <w:pPr>
              <w:shd w:val="solid" w:color="FFFFFF" w:fill="auto"/>
              <w:autoSpaceDN w:val="0"/>
              <w:spacing w:line="280" w:lineRule="exact"/>
              <w:ind w:firstLine="0" w:firstLineChars="0"/>
              <w:jc w:val="center"/>
              <w:textAlignment w:val="center"/>
              <w:rPr>
                <w:rFonts w:hint="eastAsia" w:ascii="仿宋_GB2312" w:hAnsi="仿宋_GB2312" w:eastAsia="仿宋_GB2312" w:cs="仿宋_GB2312"/>
                <w:color w:val="auto"/>
                <w:sz w:val="28"/>
                <w:szCs w:val="28"/>
              </w:rPr>
            </w:pPr>
          </w:p>
          <w:p w14:paraId="606FF7A8">
            <w:pPr>
              <w:shd w:val="solid" w:color="FFFFFF" w:fill="auto"/>
              <w:autoSpaceDN w:val="0"/>
              <w:spacing w:line="280" w:lineRule="exact"/>
              <w:ind w:firstLine="0" w:firstLineChars="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小写：</w:t>
            </w:r>
          </w:p>
        </w:tc>
        <w:tc>
          <w:tcPr>
            <w:tcW w:w="1091" w:type="pct"/>
            <w:noWrap w:val="0"/>
            <w:vAlign w:val="center"/>
          </w:tcPr>
          <w:p w14:paraId="1E421C41">
            <w:pPr>
              <w:spacing w:line="280" w:lineRule="exact"/>
              <w:ind w:firstLine="0" w:firstLineChars="0"/>
              <w:jc w:val="left"/>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rPr>
              <w:t>1.从成交到项目执行完毕</w:t>
            </w:r>
            <w:r>
              <w:rPr>
                <w:rFonts w:hint="eastAsia" w:ascii="仿宋_GB2312" w:hAnsi="仿宋_GB2312" w:eastAsia="仿宋_GB2312" w:cs="仿宋_GB2312"/>
                <w:bCs/>
                <w:color w:val="auto"/>
                <w:sz w:val="28"/>
                <w:szCs w:val="28"/>
                <w:lang w:eastAsia="zh-CN"/>
              </w:rPr>
              <w:t>。</w:t>
            </w:r>
          </w:p>
          <w:p w14:paraId="3110ED8F">
            <w:pPr>
              <w:spacing w:line="280" w:lineRule="exact"/>
              <w:ind w:firstLine="0" w:firstLineChars="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2.如谈判文件有具体约定的，遵循相关约定。</w:t>
            </w:r>
          </w:p>
        </w:tc>
        <w:tc>
          <w:tcPr>
            <w:tcW w:w="515" w:type="pct"/>
            <w:noWrap w:val="0"/>
            <w:vAlign w:val="center"/>
          </w:tcPr>
          <w:p w14:paraId="5C27FB96">
            <w:pPr>
              <w:spacing w:line="280" w:lineRule="exact"/>
              <w:ind w:firstLine="0" w:firstLineChars="0"/>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详见分项报价</w:t>
            </w:r>
          </w:p>
        </w:tc>
      </w:tr>
    </w:tbl>
    <w:p w14:paraId="2EFE759A">
      <w:pPr>
        <w:widowControl w:val="0"/>
        <w:numPr>
          <w:ilvl w:val="0"/>
          <w:numId w:val="0"/>
        </w:numPr>
        <w:tabs>
          <w:tab w:val="left" w:pos="630"/>
          <w:tab w:val="left" w:pos="7665"/>
        </w:tabs>
        <w:spacing w:line="576" w:lineRule="exact"/>
        <w:ind w:left="0" w:firstLine="560" w:firstLineChars="200"/>
        <w:jc w:val="both"/>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注：</w:t>
      </w:r>
    </w:p>
    <w:p w14:paraId="36BCE743">
      <w:pPr>
        <w:widowControl w:val="0"/>
        <w:numPr>
          <w:ilvl w:val="0"/>
          <w:numId w:val="0"/>
        </w:numPr>
        <w:tabs>
          <w:tab w:val="left" w:pos="630"/>
          <w:tab w:val="left" w:pos="7665"/>
        </w:tabs>
        <w:spacing w:line="576" w:lineRule="exact"/>
        <w:ind w:left="0" w:leftChars="0" w:firstLine="560" w:firstLineChars="200"/>
        <w:jc w:val="both"/>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1.报价应是最终用户验收合格后的总价，包含完成相关环节的全部费用。</w:t>
      </w:r>
    </w:p>
    <w:p w14:paraId="7D6C3CE1">
      <w:pPr>
        <w:widowControl w:val="0"/>
        <w:numPr>
          <w:ilvl w:val="0"/>
          <w:numId w:val="0"/>
        </w:numPr>
        <w:tabs>
          <w:tab w:val="left" w:pos="630"/>
          <w:tab w:val="left" w:pos="7665"/>
        </w:tabs>
        <w:spacing w:line="576" w:lineRule="exact"/>
        <w:ind w:left="0" w:leftChars="0" w:firstLine="560" w:firstLineChars="200"/>
        <w:jc w:val="both"/>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2.“报价一览表”为多页的，每页均需由法定代表人或授权代表签字并盖供应商印章。</w:t>
      </w:r>
    </w:p>
    <w:p w14:paraId="2DF77B21">
      <w:pPr>
        <w:widowControl w:val="0"/>
        <w:numPr>
          <w:ilvl w:val="0"/>
          <w:numId w:val="0"/>
        </w:numPr>
        <w:tabs>
          <w:tab w:val="left" w:pos="630"/>
          <w:tab w:val="left" w:pos="7665"/>
        </w:tabs>
        <w:spacing w:line="576" w:lineRule="exact"/>
        <w:ind w:left="0" w:leftChars="0" w:firstLine="560" w:firstLineChars="200"/>
        <w:jc w:val="both"/>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3．“报价一览表”以包为单位填写。</w:t>
      </w:r>
    </w:p>
    <w:p w14:paraId="2388E23C">
      <w:pPr>
        <w:numPr>
          <w:ilvl w:val="0"/>
          <w:numId w:val="0"/>
        </w:numPr>
        <w:tabs>
          <w:tab w:val="left" w:pos="630"/>
          <w:tab w:val="left" w:pos="7665"/>
        </w:tabs>
        <w:spacing w:line="576" w:lineRule="exact"/>
        <w:ind w:firstLine="560" w:firstLineChars="200"/>
        <w:rPr>
          <w:rFonts w:hint="eastAsia" w:ascii="仿宋_GB2312" w:hAnsi="仿宋_GB2312" w:eastAsia="仿宋_GB2312" w:cs="仿宋_GB2312"/>
          <w:bCs/>
          <w:color w:val="auto"/>
          <w:sz w:val="28"/>
          <w:szCs w:val="28"/>
        </w:rPr>
      </w:pPr>
    </w:p>
    <w:p w14:paraId="6D1534A4">
      <w:pPr>
        <w:widowControl w:val="0"/>
        <w:numPr>
          <w:ilvl w:val="0"/>
          <w:numId w:val="0"/>
        </w:numPr>
        <w:tabs>
          <w:tab w:val="left" w:pos="630"/>
          <w:tab w:val="left" w:pos="7665"/>
        </w:tabs>
        <w:adjustRightInd/>
        <w:spacing w:line="576" w:lineRule="exact"/>
        <w:ind w:firstLine="560" w:firstLineChars="200"/>
        <w:jc w:val="both"/>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供应商名称：        （盖章）</w:t>
      </w:r>
    </w:p>
    <w:p w14:paraId="505754F1">
      <w:pPr>
        <w:widowControl w:val="0"/>
        <w:numPr>
          <w:ilvl w:val="0"/>
          <w:numId w:val="0"/>
        </w:numPr>
        <w:tabs>
          <w:tab w:val="left" w:pos="630"/>
          <w:tab w:val="left" w:pos="7665"/>
        </w:tabs>
        <w:adjustRightInd/>
        <w:spacing w:line="576" w:lineRule="exact"/>
        <w:ind w:firstLine="560" w:firstLineChars="200"/>
        <w:jc w:val="both"/>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法定代表人或授权代表（签字）：</w:t>
      </w:r>
    </w:p>
    <w:p w14:paraId="7CEAD6FA">
      <w:pPr>
        <w:widowControl w:val="0"/>
        <w:numPr>
          <w:ilvl w:val="0"/>
          <w:numId w:val="0"/>
        </w:numPr>
        <w:tabs>
          <w:tab w:val="left" w:pos="630"/>
          <w:tab w:val="left" w:pos="7665"/>
        </w:tabs>
        <w:spacing w:line="576" w:lineRule="exact"/>
        <w:ind w:firstLine="560" w:firstLineChars="200"/>
        <w:jc w:val="both"/>
        <w:outlineLvl w:val="9"/>
        <w:rPr>
          <w:rFonts w:hint="eastAsia" w:ascii="仿宋_GB2312" w:hAnsi="仿宋_GB2312" w:eastAsia="仿宋_GB2312" w:cs="仿宋_GB2312"/>
          <w:bCs/>
          <w:color w:val="auto"/>
          <w:sz w:val="28"/>
          <w:szCs w:val="28"/>
        </w:rPr>
        <w:sectPr>
          <w:pgSz w:w="11905" w:h="16838"/>
          <w:pgMar w:top="1984" w:right="1871" w:bottom="1984" w:left="1871" w:header="851" w:footer="850" w:gutter="0"/>
          <w:pgNumType w:fmt="chineseCounting"/>
          <w:cols w:space="720" w:num="1"/>
          <w:docGrid w:linePitch="312" w:charSpace="0"/>
        </w:sectPr>
      </w:pPr>
      <w:r>
        <w:rPr>
          <w:rFonts w:hint="eastAsia" w:ascii="仿宋_GB2312" w:hAnsi="仿宋_GB2312" w:eastAsia="仿宋_GB2312" w:cs="仿宋_GB2312"/>
          <w:bCs/>
          <w:color w:val="auto"/>
          <w:sz w:val="28"/>
          <w:szCs w:val="28"/>
        </w:rPr>
        <w:t>日期：  年  月  日</w:t>
      </w:r>
      <w:bookmarkStart w:id="176" w:name="_Toc25906"/>
      <w:bookmarkStart w:id="177" w:name="_Toc26653"/>
    </w:p>
    <w:p w14:paraId="3E77E5F1">
      <w:pPr>
        <w:keepNext w:val="0"/>
        <w:keepLines w:val="0"/>
        <w:numPr>
          <w:ilvl w:val="0"/>
          <w:numId w:val="0"/>
        </w:numPr>
        <w:spacing w:before="0" w:after="0" w:line="576" w:lineRule="exact"/>
        <w:ind w:firstLine="0" w:firstLineChars="0"/>
        <w:jc w:val="center"/>
        <w:outlineLvl w:val="1"/>
        <w:rPr>
          <w:rFonts w:hint="eastAsia" w:ascii="黑体" w:hAnsi="宋体" w:eastAsia="黑体" w:cs="黑体"/>
          <w:b w:val="0"/>
          <w:bCs w:val="0"/>
          <w:iCs w:val="0"/>
          <w:color w:val="000000"/>
          <w:kern w:val="2"/>
          <w:sz w:val="32"/>
          <w:szCs w:val="32"/>
          <w:lang w:bidi="ar"/>
        </w:rPr>
      </w:pPr>
      <w:r>
        <w:rPr>
          <w:rFonts w:hint="eastAsia" w:ascii="黑体" w:hAnsi="宋体" w:eastAsia="黑体" w:cs="黑体"/>
          <w:b w:val="0"/>
          <w:bCs w:val="0"/>
          <w:iCs w:val="0"/>
          <w:color w:val="000000"/>
          <w:kern w:val="2"/>
          <w:sz w:val="32"/>
          <w:szCs w:val="32"/>
          <w:lang w:bidi="ar"/>
        </w:rPr>
        <w:t>五、</w:t>
      </w:r>
      <w:bookmarkEnd w:id="172"/>
      <w:bookmarkEnd w:id="173"/>
      <w:bookmarkEnd w:id="176"/>
      <w:bookmarkEnd w:id="177"/>
      <w:bookmarkStart w:id="178" w:name="_Toc22636"/>
      <w:bookmarkStart w:id="179" w:name="_Toc15436"/>
      <w:bookmarkStart w:id="180" w:name="_Toc18273"/>
      <w:bookmarkStart w:id="181" w:name="_Toc24888"/>
      <w:bookmarkStart w:id="182" w:name="_Toc8507"/>
      <w:r>
        <w:rPr>
          <w:rFonts w:hint="eastAsia" w:ascii="黑体" w:hAnsi="宋体" w:eastAsia="黑体" w:cs="黑体"/>
          <w:b w:val="0"/>
          <w:bCs w:val="0"/>
          <w:iCs w:val="0"/>
          <w:color w:val="000000"/>
          <w:kern w:val="2"/>
          <w:sz w:val="32"/>
          <w:szCs w:val="32"/>
          <w:lang w:bidi="ar"/>
        </w:rPr>
        <w:t>分项报价表</w:t>
      </w:r>
      <w:bookmarkEnd w:id="178"/>
      <w:bookmarkEnd w:id="179"/>
      <w:bookmarkEnd w:id="180"/>
      <w:bookmarkEnd w:id="181"/>
      <w:bookmarkEnd w:id="182"/>
    </w:p>
    <w:p w14:paraId="4F0CD94D">
      <w:pPr>
        <w:widowControl w:val="0"/>
        <w:spacing w:line="576"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150"/>
        <w:gridCol w:w="1074"/>
        <w:gridCol w:w="1072"/>
        <w:gridCol w:w="1074"/>
        <w:gridCol w:w="1072"/>
        <w:gridCol w:w="1085"/>
      </w:tblGrid>
      <w:tr w14:paraId="35F9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506" w:type="pct"/>
            <w:noWrap w:val="0"/>
            <w:vAlign w:val="center"/>
          </w:tcPr>
          <w:p w14:paraId="034CE4A5">
            <w:pPr>
              <w:snapToGrid w:val="0"/>
              <w:spacing w:line="320" w:lineRule="exact"/>
              <w:ind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1284" w:type="pct"/>
            <w:noWrap w:val="0"/>
            <w:vAlign w:val="center"/>
          </w:tcPr>
          <w:p w14:paraId="03C9834E">
            <w:pPr>
              <w:snapToGrid w:val="0"/>
              <w:spacing w:line="320" w:lineRule="exact"/>
              <w:ind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名称</w:t>
            </w:r>
          </w:p>
        </w:tc>
        <w:tc>
          <w:tcPr>
            <w:tcW w:w="641" w:type="pct"/>
            <w:noWrap w:val="0"/>
            <w:vAlign w:val="center"/>
          </w:tcPr>
          <w:p w14:paraId="7E72A58B">
            <w:pPr>
              <w:snapToGrid w:val="0"/>
              <w:spacing w:line="320" w:lineRule="exact"/>
              <w:ind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w:t>
            </w:r>
          </w:p>
        </w:tc>
        <w:tc>
          <w:tcPr>
            <w:tcW w:w="640" w:type="pct"/>
            <w:noWrap w:val="0"/>
            <w:vAlign w:val="center"/>
          </w:tcPr>
          <w:p w14:paraId="4532F34B">
            <w:pPr>
              <w:snapToGrid w:val="0"/>
              <w:spacing w:line="320" w:lineRule="exact"/>
              <w:ind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数量</w:t>
            </w:r>
          </w:p>
        </w:tc>
        <w:tc>
          <w:tcPr>
            <w:tcW w:w="641" w:type="pct"/>
            <w:noWrap w:val="0"/>
            <w:vAlign w:val="center"/>
          </w:tcPr>
          <w:p w14:paraId="5A1EE0FD">
            <w:pPr>
              <w:snapToGrid w:val="0"/>
              <w:spacing w:line="320" w:lineRule="exact"/>
              <w:ind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单价</w:t>
            </w:r>
          </w:p>
        </w:tc>
        <w:tc>
          <w:tcPr>
            <w:tcW w:w="640" w:type="pct"/>
            <w:noWrap w:val="0"/>
            <w:vAlign w:val="center"/>
          </w:tcPr>
          <w:p w14:paraId="6F815C5D">
            <w:pPr>
              <w:snapToGrid w:val="0"/>
              <w:spacing w:line="320" w:lineRule="exact"/>
              <w:ind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金额</w:t>
            </w:r>
          </w:p>
        </w:tc>
        <w:tc>
          <w:tcPr>
            <w:tcW w:w="646" w:type="pct"/>
            <w:noWrap w:val="0"/>
            <w:vAlign w:val="center"/>
          </w:tcPr>
          <w:p w14:paraId="466EB422">
            <w:pPr>
              <w:snapToGrid w:val="0"/>
              <w:spacing w:line="320" w:lineRule="exact"/>
              <w:ind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备注</w:t>
            </w:r>
          </w:p>
        </w:tc>
      </w:tr>
      <w:tr w14:paraId="37CB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06" w:type="pct"/>
            <w:noWrap w:val="0"/>
            <w:vAlign w:val="center"/>
          </w:tcPr>
          <w:p w14:paraId="0E90673C">
            <w:pPr>
              <w:snapToGrid w:val="0"/>
              <w:spacing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284" w:type="pct"/>
            <w:noWrap w:val="0"/>
            <w:vAlign w:val="center"/>
          </w:tcPr>
          <w:p w14:paraId="2B522312">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0D6F3DE7">
            <w:pPr>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3E36F11F">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1D42992E">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12EBA455">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6" w:type="pct"/>
            <w:noWrap w:val="0"/>
            <w:vAlign w:val="center"/>
          </w:tcPr>
          <w:p w14:paraId="047B815E">
            <w:pPr>
              <w:snapToGrid w:val="0"/>
              <w:spacing w:line="320" w:lineRule="exact"/>
              <w:ind w:firstLine="0" w:firstLineChars="0"/>
              <w:jc w:val="center"/>
              <w:rPr>
                <w:rFonts w:hint="eastAsia" w:ascii="仿宋_GB2312" w:hAnsi="仿宋_GB2312" w:eastAsia="仿宋_GB2312" w:cs="仿宋_GB2312"/>
                <w:color w:val="auto"/>
                <w:sz w:val="28"/>
                <w:szCs w:val="28"/>
              </w:rPr>
            </w:pPr>
          </w:p>
        </w:tc>
      </w:tr>
      <w:tr w14:paraId="28BC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06" w:type="pct"/>
            <w:noWrap w:val="0"/>
            <w:vAlign w:val="center"/>
          </w:tcPr>
          <w:p w14:paraId="2C0A934C">
            <w:pPr>
              <w:snapToGrid w:val="0"/>
              <w:spacing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284" w:type="pct"/>
            <w:noWrap w:val="0"/>
            <w:vAlign w:val="center"/>
          </w:tcPr>
          <w:p w14:paraId="3E7F9F0B">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44686596">
            <w:pPr>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0C5B1217">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7730C7BB">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6E587050">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6" w:type="pct"/>
            <w:noWrap w:val="0"/>
            <w:vAlign w:val="center"/>
          </w:tcPr>
          <w:p w14:paraId="6485D8F4">
            <w:pPr>
              <w:snapToGrid w:val="0"/>
              <w:spacing w:line="320" w:lineRule="exact"/>
              <w:ind w:firstLine="0" w:firstLineChars="0"/>
              <w:jc w:val="center"/>
              <w:rPr>
                <w:rFonts w:hint="eastAsia" w:ascii="仿宋_GB2312" w:hAnsi="仿宋_GB2312" w:eastAsia="仿宋_GB2312" w:cs="仿宋_GB2312"/>
                <w:color w:val="auto"/>
                <w:sz w:val="28"/>
                <w:szCs w:val="28"/>
              </w:rPr>
            </w:pPr>
          </w:p>
        </w:tc>
      </w:tr>
      <w:tr w14:paraId="6118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06" w:type="pct"/>
            <w:noWrap w:val="0"/>
            <w:vAlign w:val="center"/>
          </w:tcPr>
          <w:p w14:paraId="124A28B3">
            <w:pPr>
              <w:snapToGrid w:val="0"/>
              <w:spacing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284" w:type="pct"/>
            <w:noWrap w:val="0"/>
            <w:vAlign w:val="center"/>
          </w:tcPr>
          <w:p w14:paraId="1F403046">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2382ED62">
            <w:pPr>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0F82BAA5">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75FD0530">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04C6D935">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6" w:type="pct"/>
            <w:noWrap w:val="0"/>
            <w:vAlign w:val="center"/>
          </w:tcPr>
          <w:p w14:paraId="06EEF9F0">
            <w:pPr>
              <w:snapToGrid w:val="0"/>
              <w:spacing w:line="320" w:lineRule="exact"/>
              <w:ind w:firstLine="0" w:firstLineChars="0"/>
              <w:jc w:val="center"/>
              <w:rPr>
                <w:rFonts w:hint="eastAsia" w:ascii="仿宋_GB2312" w:hAnsi="仿宋_GB2312" w:eastAsia="仿宋_GB2312" w:cs="仿宋_GB2312"/>
                <w:color w:val="auto"/>
                <w:sz w:val="28"/>
                <w:szCs w:val="28"/>
              </w:rPr>
            </w:pPr>
          </w:p>
        </w:tc>
      </w:tr>
      <w:tr w14:paraId="5059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06" w:type="pct"/>
            <w:noWrap w:val="0"/>
            <w:vAlign w:val="center"/>
          </w:tcPr>
          <w:p w14:paraId="49DBA60C">
            <w:pPr>
              <w:snapToGrid w:val="0"/>
              <w:spacing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284" w:type="pct"/>
            <w:noWrap w:val="0"/>
            <w:vAlign w:val="center"/>
          </w:tcPr>
          <w:p w14:paraId="7610B52E">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24D060CE">
            <w:pPr>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279AE68D">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5444BD8E">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0E168249">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6" w:type="pct"/>
            <w:noWrap w:val="0"/>
            <w:vAlign w:val="center"/>
          </w:tcPr>
          <w:p w14:paraId="2A08A696">
            <w:pPr>
              <w:snapToGrid w:val="0"/>
              <w:spacing w:line="320" w:lineRule="exact"/>
              <w:ind w:firstLine="0" w:firstLineChars="0"/>
              <w:jc w:val="center"/>
              <w:rPr>
                <w:rFonts w:hint="eastAsia" w:ascii="仿宋_GB2312" w:hAnsi="仿宋_GB2312" w:eastAsia="仿宋_GB2312" w:cs="仿宋_GB2312"/>
                <w:color w:val="auto"/>
                <w:sz w:val="28"/>
                <w:szCs w:val="28"/>
              </w:rPr>
            </w:pPr>
          </w:p>
        </w:tc>
      </w:tr>
      <w:tr w14:paraId="4DA3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06" w:type="pct"/>
            <w:noWrap w:val="0"/>
            <w:vAlign w:val="center"/>
          </w:tcPr>
          <w:p w14:paraId="0E0F71D0">
            <w:pPr>
              <w:snapToGrid w:val="0"/>
              <w:spacing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1284" w:type="pct"/>
            <w:noWrap w:val="0"/>
            <w:vAlign w:val="center"/>
          </w:tcPr>
          <w:p w14:paraId="2445268F">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381060DE">
            <w:pPr>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4A09BBAD">
            <w:pPr>
              <w:spacing w:line="320" w:lineRule="exact"/>
              <w:ind w:firstLine="0" w:firstLineChars="0"/>
              <w:jc w:val="center"/>
              <w:rPr>
                <w:rFonts w:hint="eastAsia" w:ascii="仿宋_GB2312" w:hAnsi="仿宋_GB2312" w:eastAsia="仿宋_GB2312" w:cs="仿宋_GB2312"/>
                <w:color w:val="auto"/>
                <w:sz w:val="28"/>
                <w:szCs w:val="28"/>
              </w:rPr>
            </w:pPr>
          </w:p>
        </w:tc>
        <w:tc>
          <w:tcPr>
            <w:tcW w:w="641" w:type="pct"/>
            <w:noWrap w:val="0"/>
            <w:vAlign w:val="center"/>
          </w:tcPr>
          <w:p w14:paraId="593035A1">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0" w:type="pct"/>
            <w:noWrap w:val="0"/>
            <w:vAlign w:val="center"/>
          </w:tcPr>
          <w:p w14:paraId="58F4A956">
            <w:pPr>
              <w:snapToGrid w:val="0"/>
              <w:spacing w:line="320" w:lineRule="exact"/>
              <w:ind w:firstLine="0" w:firstLineChars="0"/>
              <w:jc w:val="center"/>
              <w:rPr>
                <w:rFonts w:hint="eastAsia" w:ascii="仿宋_GB2312" w:hAnsi="仿宋_GB2312" w:eastAsia="仿宋_GB2312" w:cs="仿宋_GB2312"/>
                <w:color w:val="auto"/>
                <w:sz w:val="28"/>
                <w:szCs w:val="28"/>
              </w:rPr>
            </w:pPr>
          </w:p>
        </w:tc>
        <w:tc>
          <w:tcPr>
            <w:tcW w:w="646" w:type="pct"/>
            <w:noWrap w:val="0"/>
            <w:vAlign w:val="center"/>
          </w:tcPr>
          <w:p w14:paraId="260B18DC">
            <w:pPr>
              <w:snapToGrid w:val="0"/>
              <w:spacing w:line="320" w:lineRule="exact"/>
              <w:ind w:firstLine="0" w:firstLineChars="0"/>
              <w:jc w:val="center"/>
              <w:rPr>
                <w:rFonts w:hint="eastAsia" w:ascii="仿宋_GB2312" w:hAnsi="仿宋_GB2312" w:eastAsia="仿宋_GB2312" w:cs="仿宋_GB2312"/>
                <w:color w:val="auto"/>
                <w:sz w:val="28"/>
                <w:szCs w:val="28"/>
              </w:rPr>
            </w:pPr>
          </w:p>
        </w:tc>
      </w:tr>
      <w:tr w14:paraId="3445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000" w:type="pct"/>
            <w:gridSpan w:val="7"/>
            <w:noWrap w:val="0"/>
            <w:vAlign w:val="center"/>
          </w:tcPr>
          <w:p w14:paraId="0E8C38D9">
            <w:pPr>
              <w:snapToGrid w:val="0"/>
              <w:spacing w:line="32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（大写：人民币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tc>
      </w:tr>
    </w:tbl>
    <w:p w14:paraId="63E04520">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说明：如果按单价计算的结果与总价不一致，以单价为准修正总价。</w:t>
      </w:r>
    </w:p>
    <w:p w14:paraId="6DE8CC71">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sz w:val="28"/>
          <w:szCs w:val="28"/>
        </w:rPr>
      </w:pPr>
      <w:r>
        <w:rPr>
          <w:rFonts w:hint="eastAsia" w:ascii="仿宋_GB2312" w:hAnsi="仿宋_GB2312" w:eastAsia="仿宋_GB2312" w:cs="仿宋_GB2312"/>
          <w:bCs/>
          <w:color w:val="auto"/>
          <w:sz w:val="28"/>
          <w:szCs w:val="28"/>
        </w:rPr>
        <w:t>注：</w:t>
      </w:r>
    </w:p>
    <w:p w14:paraId="5C6A81AF">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1、供应商必须按“分项报价明细表”的格式详细报出谈判总价的各个组成部分的报价，报价含内容包括但不</w:t>
      </w:r>
      <w:r>
        <w:rPr>
          <w:rFonts w:hint="eastAsia" w:ascii="仿宋_GB2312" w:hAnsi="仿宋_GB2312" w:eastAsia="仿宋_GB2312" w:cs="仿宋_GB2312"/>
          <w:bCs/>
          <w:i w:val="0"/>
          <w:iCs w:val="0"/>
          <w:color w:val="auto"/>
          <w:sz w:val="28"/>
          <w:szCs w:val="28"/>
        </w:rPr>
        <w:t>限于</w:t>
      </w:r>
      <w:r>
        <w:rPr>
          <w:rFonts w:hint="eastAsia" w:ascii="仿宋_GB2312" w:hAnsi="仿宋_GB2312" w:eastAsia="仿宋_GB2312" w:cs="仿宋_GB2312"/>
          <w:bCs/>
          <w:i w:val="0"/>
          <w:iCs w:val="0"/>
          <w:color w:val="auto"/>
          <w:sz w:val="28"/>
          <w:szCs w:val="28"/>
          <w:u w:val="none"/>
        </w:rPr>
        <w:t xml:space="preserve">        </w:t>
      </w:r>
      <w:r>
        <w:rPr>
          <w:rFonts w:hint="eastAsia" w:ascii="仿宋_GB2312" w:hAnsi="仿宋_GB2312" w:eastAsia="仿宋_GB2312" w:cs="仿宋_GB2312"/>
          <w:bCs/>
          <w:i w:val="0"/>
          <w:iCs w:val="0"/>
          <w:color w:val="auto"/>
          <w:sz w:val="28"/>
          <w:szCs w:val="28"/>
        </w:rPr>
        <w:t>（采购需求内容）</w:t>
      </w:r>
      <w:r>
        <w:rPr>
          <w:rFonts w:hint="eastAsia" w:ascii="仿宋_GB2312" w:hAnsi="仿宋_GB2312" w:eastAsia="仿宋_GB2312" w:cs="仿宋_GB2312"/>
          <w:bCs/>
          <w:color w:val="auto"/>
          <w:sz w:val="28"/>
          <w:szCs w:val="28"/>
        </w:rPr>
        <w:t>等全部费用，否则作无效响应处理。</w:t>
      </w:r>
    </w:p>
    <w:p w14:paraId="13419032">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2.“分项报价明细表”各分项报价合计应当与“报价一览表”报价合计相等。</w:t>
      </w:r>
    </w:p>
    <w:p w14:paraId="5E4674C1">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3.本分项报价表与报价一览表一起密封，通过资格性符合性审查后予以报价。</w:t>
      </w:r>
    </w:p>
    <w:p w14:paraId="4A61FAD2">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供应商名称：                         （全称并加盖公章）</w:t>
      </w:r>
    </w:p>
    <w:p w14:paraId="43396542">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法定代表人或授权代表（签字）：                         </w:t>
      </w:r>
    </w:p>
    <w:p w14:paraId="37039B94">
      <w:pPr>
        <w:widowControl w:val="0"/>
        <w:numPr>
          <w:ilvl w:val="0"/>
          <w:numId w:val="0"/>
        </w:numPr>
        <w:tabs>
          <w:tab w:val="left" w:pos="630"/>
          <w:tab w:val="left" w:pos="7665"/>
        </w:tabs>
        <w:spacing w:line="576" w:lineRule="exact"/>
        <w:ind w:firstLine="560" w:firstLineChars="200"/>
        <w:jc w:val="both"/>
        <w:rPr>
          <w:rFonts w:hint="eastAsia" w:ascii="黑体" w:hAnsi="黑体" w:eastAsia="黑体" w:cs="黑体"/>
          <w:color w:val="auto"/>
          <w:sz w:val="30"/>
          <w:szCs w:val="30"/>
        </w:rPr>
      </w:pPr>
      <w:r>
        <w:rPr>
          <w:rFonts w:hint="eastAsia" w:ascii="仿宋_GB2312" w:hAnsi="仿宋_GB2312" w:eastAsia="仿宋_GB2312" w:cs="仿宋_GB2312"/>
          <w:bCs/>
          <w:color w:val="auto"/>
          <w:sz w:val="28"/>
          <w:szCs w:val="28"/>
        </w:rPr>
        <w:t>日期：       年    月   日</w:t>
      </w:r>
      <w:bookmarkStart w:id="183" w:name="_Toc22273"/>
      <w:r>
        <w:rPr>
          <w:rFonts w:hint="eastAsia" w:ascii="仿宋_GB2312" w:hAnsi="仿宋_GB2312" w:eastAsia="仿宋_GB2312" w:cs="仿宋_GB2312"/>
          <w:bCs/>
          <w:color w:val="auto"/>
          <w:sz w:val="28"/>
          <w:szCs w:val="28"/>
        </w:rPr>
        <w:t xml:space="preserve"> </w:t>
      </w:r>
      <w:bookmarkStart w:id="184" w:name="_Toc23661"/>
      <w:r>
        <w:rPr>
          <w:rFonts w:ascii="仿宋_GB2312" w:hAnsi="仿宋_GB2312" w:eastAsia="仿宋_GB2312" w:cs="仿宋_GB2312"/>
          <w:color w:val="auto"/>
          <w:sz w:val="28"/>
          <w:szCs w:val="28"/>
        </w:rPr>
        <w:t xml:space="preserve">   </w:t>
      </w:r>
      <w:bookmarkEnd w:id="174"/>
      <w:bookmarkEnd w:id="175"/>
      <w:bookmarkStart w:id="185" w:name="_Toc217446091"/>
      <w:bookmarkStart w:id="186" w:name="_Toc26697"/>
      <w:bookmarkStart w:id="187" w:name="_Toc23028"/>
      <w:bookmarkStart w:id="188" w:name="_Toc439772554"/>
    </w:p>
    <w:p w14:paraId="0900AB3E">
      <w:pPr>
        <w:pStyle w:val="3"/>
        <w:spacing w:line="440" w:lineRule="exact"/>
        <w:jc w:val="both"/>
        <w:rPr>
          <w:rFonts w:hint="eastAsia" w:ascii="黑体" w:hAnsi="黑体" w:eastAsia="黑体" w:cs="黑体"/>
          <w:b w:val="0"/>
          <w:bCs w:val="0"/>
          <w:iCs w:val="0"/>
          <w:color w:val="auto"/>
          <w:sz w:val="30"/>
          <w:szCs w:val="30"/>
        </w:rPr>
        <w:sectPr>
          <w:pgSz w:w="11905" w:h="16838"/>
          <w:pgMar w:top="1984" w:right="1871" w:bottom="1984" w:left="1871" w:header="851" w:footer="850" w:gutter="0"/>
          <w:pgNumType w:fmt="chineseCounting"/>
          <w:cols w:space="720" w:num="1"/>
          <w:docGrid w:linePitch="312" w:charSpace="0"/>
        </w:sectPr>
      </w:pPr>
    </w:p>
    <w:p w14:paraId="4144899E">
      <w:pPr>
        <w:widowControl w:val="0"/>
        <w:numPr>
          <w:ilvl w:val="0"/>
          <w:numId w:val="0"/>
        </w:numPr>
        <w:adjustRightInd/>
        <w:snapToGrid/>
        <w:spacing w:line="576" w:lineRule="exact"/>
        <w:ind w:firstLine="0" w:firstLineChars="0"/>
        <w:jc w:val="center"/>
        <w:outlineLvl w:val="1"/>
        <w:rPr>
          <w:rFonts w:ascii="Times New Roman"/>
          <w:color w:val="auto"/>
          <w:sz w:val="24"/>
        </w:rPr>
      </w:pPr>
      <w:r>
        <w:rPr>
          <w:rFonts w:hint="eastAsia" w:ascii="黑体" w:hAnsi="宋体" w:eastAsia="黑体" w:cs="黑体"/>
          <w:b w:val="0"/>
          <w:bCs w:val="0"/>
          <w:iCs w:val="0"/>
          <w:color w:val="000000"/>
          <w:kern w:val="2"/>
          <w:sz w:val="32"/>
          <w:szCs w:val="32"/>
          <w:lang w:bidi="ar"/>
        </w:rPr>
        <w:t>六、采购需求响应表</w:t>
      </w:r>
      <w:bookmarkEnd w:id="183"/>
      <w:bookmarkEnd w:id="184"/>
    </w:p>
    <w:p w14:paraId="6080C81F">
      <w:pPr>
        <w:widowControl w:val="0"/>
        <w:numPr>
          <w:ilvl w:val="0"/>
          <w:numId w:val="0"/>
        </w:numPr>
        <w:tabs>
          <w:tab w:val="left" w:pos="630"/>
          <w:tab w:val="left" w:pos="7665"/>
        </w:tabs>
        <w:adjustRightInd/>
        <w:snapToGrid/>
        <w:spacing w:line="576"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我公司已认真阅读谈判文件中 “采购需求”中的所有条款，对用户需求书的内容要求了解清晰，若我司在本次谈判中</w:t>
      </w:r>
      <w:r>
        <w:rPr>
          <w:rFonts w:hint="eastAsia" w:ascii="仿宋_GB2312" w:hAnsi="仿宋_GB2312" w:eastAsia="仿宋_GB2312" w:cs="仿宋_GB2312"/>
          <w:bCs/>
          <w:color w:val="auto"/>
          <w:sz w:val="28"/>
          <w:szCs w:val="28"/>
          <w:lang w:eastAsia="zh-CN"/>
        </w:rPr>
        <w:t>成交</w:t>
      </w:r>
      <w:r>
        <w:rPr>
          <w:rFonts w:hint="eastAsia" w:ascii="仿宋_GB2312" w:hAnsi="仿宋_GB2312" w:eastAsia="仿宋_GB2312" w:cs="仿宋_GB2312"/>
          <w:bCs/>
          <w:color w:val="auto"/>
          <w:sz w:val="28"/>
          <w:szCs w:val="28"/>
        </w:rPr>
        <w:t>，将按照“采购需求”的服务要求的响应情况为采购人提供相应的产品及优质的服务。</w:t>
      </w:r>
    </w:p>
    <w:tbl>
      <w:tblPr>
        <w:tblStyle w:val="23"/>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6"/>
        <w:gridCol w:w="1703"/>
        <w:gridCol w:w="1683"/>
        <w:gridCol w:w="1211"/>
        <w:gridCol w:w="1211"/>
        <w:gridCol w:w="2365"/>
      </w:tblGrid>
      <w:tr w14:paraId="64D6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776" w:type="dxa"/>
            <w:noWrap w:val="0"/>
            <w:vAlign w:val="center"/>
          </w:tcPr>
          <w:p w14:paraId="48816075">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序号</w:t>
            </w:r>
          </w:p>
        </w:tc>
        <w:tc>
          <w:tcPr>
            <w:tcW w:w="1703" w:type="dxa"/>
            <w:noWrap w:val="0"/>
            <w:vAlign w:val="center"/>
          </w:tcPr>
          <w:p w14:paraId="4FEDC9AC">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谈判文件</w:t>
            </w:r>
          </w:p>
          <w:p w14:paraId="169C915C">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需求条款</w:t>
            </w:r>
          </w:p>
        </w:tc>
        <w:tc>
          <w:tcPr>
            <w:tcW w:w="1683" w:type="dxa"/>
            <w:noWrap w:val="0"/>
            <w:vAlign w:val="center"/>
          </w:tcPr>
          <w:p w14:paraId="1EF109F5">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响应文件响应条款</w:t>
            </w:r>
          </w:p>
        </w:tc>
        <w:tc>
          <w:tcPr>
            <w:tcW w:w="1211" w:type="dxa"/>
            <w:noWrap w:val="0"/>
            <w:vAlign w:val="center"/>
          </w:tcPr>
          <w:p w14:paraId="4117CA00">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响应文件对应页码</w:t>
            </w:r>
          </w:p>
        </w:tc>
        <w:tc>
          <w:tcPr>
            <w:tcW w:w="1211" w:type="dxa"/>
            <w:noWrap w:val="0"/>
            <w:vAlign w:val="center"/>
          </w:tcPr>
          <w:p w14:paraId="2622A567">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偏离</w:t>
            </w:r>
          </w:p>
          <w:p w14:paraId="77FEDCB1">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情况</w:t>
            </w:r>
          </w:p>
        </w:tc>
        <w:tc>
          <w:tcPr>
            <w:tcW w:w="2365" w:type="dxa"/>
            <w:noWrap w:val="0"/>
            <w:vAlign w:val="center"/>
          </w:tcPr>
          <w:p w14:paraId="6B9C8981">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说明</w:t>
            </w:r>
          </w:p>
        </w:tc>
      </w:tr>
      <w:tr w14:paraId="1208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776" w:type="dxa"/>
            <w:noWrap w:val="0"/>
            <w:vAlign w:val="center"/>
          </w:tcPr>
          <w:p w14:paraId="1CFFF474">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1</w:t>
            </w:r>
          </w:p>
        </w:tc>
        <w:tc>
          <w:tcPr>
            <w:tcW w:w="1703" w:type="dxa"/>
            <w:noWrap w:val="0"/>
            <w:vAlign w:val="center"/>
          </w:tcPr>
          <w:p w14:paraId="6BF597D6">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1683" w:type="dxa"/>
            <w:noWrap w:val="0"/>
            <w:vAlign w:val="center"/>
          </w:tcPr>
          <w:p w14:paraId="1C463B3F">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1211" w:type="dxa"/>
            <w:noWrap w:val="0"/>
            <w:vAlign w:val="center"/>
          </w:tcPr>
          <w:p w14:paraId="13D2DC35">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1211" w:type="dxa"/>
            <w:noWrap w:val="0"/>
            <w:vAlign w:val="center"/>
          </w:tcPr>
          <w:p w14:paraId="6405F546">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2365" w:type="dxa"/>
            <w:noWrap w:val="0"/>
            <w:vAlign w:val="center"/>
          </w:tcPr>
          <w:p w14:paraId="4A4E5FA8">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r>
      <w:tr w14:paraId="3FDD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776" w:type="dxa"/>
            <w:noWrap w:val="0"/>
            <w:vAlign w:val="center"/>
          </w:tcPr>
          <w:p w14:paraId="698CD906">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2</w:t>
            </w:r>
          </w:p>
        </w:tc>
        <w:tc>
          <w:tcPr>
            <w:tcW w:w="1703" w:type="dxa"/>
            <w:noWrap w:val="0"/>
            <w:vAlign w:val="center"/>
          </w:tcPr>
          <w:p w14:paraId="089CA112">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1683" w:type="dxa"/>
            <w:noWrap w:val="0"/>
            <w:vAlign w:val="center"/>
          </w:tcPr>
          <w:p w14:paraId="199830C5">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1211" w:type="dxa"/>
            <w:noWrap w:val="0"/>
            <w:vAlign w:val="center"/>
          </w:tcPr>
          <w:p w14:paraId="41467826">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1211" w:type="dxa"/>
            <w:noWrap w:val="0"/>
            <w:vAlign w:val="center"/>
          </w:tcPr>
          <w:p w14:paraId="57B73F99">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c>
          <w:tcPr>
            <w:tcW w:w="2365" w:type="dxa"/>
            <w:noWrap w:val="0"/>
            <w:vAlign w:val="center"/>
          </w:tcPr>
          <w:p w14:paraId="5EAA44B7">
            <w:pPr>
              <w:widowControl w:val="0"/>
              <w:numPr>
                <w:ilvl w:val="0"/>
                <w:numId w:val="0"/>
              </w:numPr>
              <w:tabs>
                <w:tab w:val="left" w:pos="630"/>
                <w:tab w:val="left" w:pos="7665"/>
              </w:tabs>
              <w:spacing w:line="576" w:lineRule="exact"/>
              <w:ind w:firstLine="0" w:firstLineChars="0"/>
              <w:jc w:val="center"/>
              <w:rPr>
                <w:rFonts w:hint="eastAsia" w:ascii="仿宋_GB2312" w:hAnsi="仿宋_GB2312" w:eastAsia="仿宋_GB2312" w:cs="仿宋_GB2312"/>
                <w:b/>
                <w:bCs w:val="0"/>
                <w:color w:val="auto"/>
                <w:sz w:val="28"/>
                <w:szCs w:val="28"/>
              </w:rPr>
            </w:pPr>
          </w:p>
        </w:tc>
      </w:tr>
    </w:tbl>
    <w:p w14:paraId="283AB6DA">
      <w:pPr>
        <w:spacing w:before="120" w:beforeLines="50" w:line="44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备注：</w:t>
      </w:r>
    </w:p>
    <w:p w14:paraId="12D1123D">
      <w:pPr>
        <w:widowControl w:val="0"/>
        <w:numPr>
          <w:ilvl w:val="0"/>
          <w:numId w:val="0"/>
        </w:numPr>
        <w:tabs>
          <w:tab w:val="left" w:pos="630"/>
          <w:tab w:val="left" w:pos="7665"/>
        </w:tabs>
        <w:spacing w:before="0" w:beforeLines="0"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1.“响应文件响应条款”一栏应对照谈判文件需求条款一一对应响应。</w:t>
      </w:r>
    </w:p>
    <w:p w14:paraId="4921D268">
      <w:pPr>
        <w:widowControl w:val="0"/>
        <w:numPr>
          <w:ilvl w:val="0"/>
          <w:numId w:val="0"/>
        </w:numPr>
        <w:tabs>
          <w:tab w:val="left" w:pos="630"/>
          <w:tab w:val="left" w:pos="7665"/>
        </w:tabs>
        <w:spacing w:before="0" w:beforeLines="0"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2.“偏离情况”一栏应如实填写“正偏离”“负偏离”或“完全响应”。</w:t>
      </w:r>
    </w:p>
    <w:p w14:paraId="61574A9C">
      <w:pPr>
        <w:widowControl w:val="0"/>
        <w:numPr>
          <w:ilvl w:val="0"/>
          <w:numId w:val="0"/>
        </w:numPr>
        <w:tabs>
          <w:tab w:val="left" w:pos="630"/>
          <w:tab w:val="left" w:pos="7665"/>
        </w:tabs>
        <w:spacing w:before="0" w:beforeLines="0"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3.《采购需求响应表》填写不全、不明或不实的，响应文件将按无效响应处理。</w:t>
      </w:r>
    </w:p>
    <w:p w14:paraId="56ACB10B">
      <w:pPr>
        <w:numPr>
          <w:ilvl w:val="0"/>
          <w:numId w:val="0"/>
        </w:numPr>
        <w:tabs>
          <w:tab w:val="left" w:pos="630"/>
          <w:tab w:val="left" w:pos="7665"/>
        </w:tabs>
        <w:spacing w:line="576" w:lineRule="exact"/>
        <w:ind w:firstLine="560" w:firstLineChars="200"/>
        <w:rPr>
          <w:rFonts w:hint="eastAsia" w:ascii="仿宋_GB2312" w:hAnsi="仿宋_GB2312" w:eastAsia="仿宋_GB2312" w:cs="仿宋_GB2312"/>
          <w:bCs/>
          <w:color w:val="auto"/>
          <w:sz w:val="28"/>
          <w:szCs w:val="28"/>
        </w:rPr>
      </w:pPr>
    </w:p>
    <w:p w14:paraId="5A4EEB9C">
      <w:pPr>
        <w:widowControl w:val="0"/>
        <w:numPr>
          <w:ilvl w:val="0"/>
          <w:numId w:val="0"/>
        </w:numPr>
        <w:tabs>
          <w:tab w:val="left" w:pos="630"/>
          <w:tab w:val="left" w:pos="7665"/>
        </w:tabs>
        <w:adjustRightInd/>
        <w:spacing w:line="576" w:lineRule="exact"/>
        <w:ind w:firstLine="560" w:firstLineChars="200"/>
        <w:jc w:val="both"/>
        <w:rPr>
          <w:rFonts w:hint="eastAsia" w:ascii="仿宋_GB2312" w:hAnsi="仿宋_GB2312" w:eastAsia="仿宋_GB2312" w:cs="仿宋_GB2312"/>
          <w:bCs/>
          <w:color w:val="auto"/>
          <w:sz w:val="28"/>
          <w:szCs w:val="28"/>
        </w:rPr>
      </w:pPr>
    </w:p>
    <w:p w14:paraId="55AC5DFB">
      <w:pPr>
        <w:widowControl w:val="0"/>
        <w:numPr>
          <w:ilvl w:val="0"/>
          <w:numId w:val="0"/>
        </w:numPr>
        <w:tabs>
          <w:tab w:val="left" w:pos="630"/>
          <w:tab w:val="left" w:pos="7665"/>
        </w:tabs>
        <w:adjustRightInd/>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供应商名称（盖章）：        </w:t>
      </w:r>
    </w:p>
    <w:p w14:paraId="3E876AB6">
      <w:pPr>
        <w:widowControl w:val="0"/>
        <w:numPr>
          <w:ilvl w:val="0"/>
          <w:numId w:val="0"/>
        </w:numPr>
        <w:tabs>
          <w:tab w:val="left" w:pos="630"/>
          <w:tab w:val="left" w:pos="7665"/>
        </w:tabs>
        <w:adjustRightInd/>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法定代表人或授权代表（签字）：</w:t>
      </w:r>
    </w:p>
    <w:p w14:paraId="744A44D1">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日期：   年  月  日</w:t>
      </w:r>
    </w:p>
    <w:bookmarkEnd w:id="185"/>
    <w:bookmarkEnd w:id="186"/>
    <w:bookmarkEnd w:id="187"/>
    <w:bookmarkEnd w:id="188"/>
    <w:p w14:paraId="2968AE55">
      <w:pPr>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 w:val="0"/>
          <w:bCs/>
          <w:iCs w:val="0"/>
          <w:color w:val="auto"/>
          <w:sz w:val="28"/>
          <w:szCs w:val="28"/>
        </w:rPr>
        <w:sectPr>
          <w:pgSz w:w="11905" w:h="16838"/>
          <w:pgMar w:top="1984" w:right="1871" w:bottom="1984" w:left="1871" w:header="851" w:footer="850" w:gutter="0"/>
          <w:pgNumType w:fmt="chineseCounting"/>
          <w:cols w:space="720" w:num="1"/>
          <w:docGrid w:linePitch="312" w:charSpace="0"/>
        </w:sectPr>
      </w:pPr>
      <w:bookmarkStart w:id="189" w:name="_Toc25399"/>
      <w:bookmarkStart w:id="190" w:name="_Toc3375"/>
      <w:bookmarkStart w:id="191" w:name="_Toc439772555"/>
      <w:bookmarkStart w:id="192" w:name="_Toc25164"/>
    </w:p>
    <w:p w14:paraId="1E628427">
      <w:pPr>
        <w:pStyle w:val="3"/>
        <w:jc w:val="center"/>
        <w:rPr>
          <w:rFonts w:hint="eastAsia" w:ascii="黑体" w:hAnsi="黑体"/>
          <w:iCs w:val="0"/>
          <w:color w:val="auto"/>
          <w:sz w:val="30"/>
          <w:szCs w:val="30"/>
        </w:rPr>
      </w:pPr>
      <w:r>
        <w:rPr>
          <w:rFonts w:hint="eastAsia" w:ascii="黑体" w:hAnsi="黑体" w:eastAsia="黑体" w:cs="黑体"/>
          <w:b w:val="0"/>
          <w:bCs w:val="0"/>
          <w:iCs w:val="0"/>
          <w:color w:val="auto"/>
          <w:sz w:val="30"/>
          <w:szCs w:val="30"/>
        </w:rPr>
        <w:t>七、服务保证和售后服务承诺</w:t>
      </w:r>
      <w:bookmarkEnd w:id="189"/>
      <w:bookmarkEnd w:id="190"/>
    </w:p>
    <w:p w14:paraId="29663878">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（格式自定）</w:t>
      </w:r>
    </w:p>
    <w:p w14:paraId="6FFA5FA0">
      <w:pPr>
        <w:spacing w:line="360" w:lineRule="auto"/>
        <w:rPr>
          <w:rFonts w:hint="eastAsia" w:ascii="仿宋_GB2312" w:hAnsi="仿宋_GB2312" w:eastAsia="仿宋_GB2312" w:cs="仿宋_GB2312"/>
          <w:color w:val="auto"/>
          <w:sz w:val="28"/>
          <w:szCs w:val="28"/>
        </w:rPr>
      </w:pPr>
    </w:p>
    <w:p w14:paraId="44496B6E">
      <w:pPr>
        <w:spacing w:line="360" w:lineRule="auto"/>
        <w:rPr>
          <w:rFonts w:hint="eastAsia" w:ascii="仿宋_GB2312" w:hAnsi="仿宋_GB2312" w:eastAsia="仿宋_GB2312" w:cs="仿宋_GB2312"/>
          <w:color w:val="auto"/>
          <w:sz w:val="28"/>
          <w:szCs w:val="28"/>
        </w:rPr>
      </w:pPr>
    </w:p>
    <w:p w14:paraId="65BD0980">
      <w:pPr>
        <w:spacing w:line="360" w:lineRule="auto"/>
        <w:rPr>
          <w:rFonts w:hint="eastAsia" w:ascii="仿宋_GB2312" w:hAnsi="仿宋_GB2312" w:eastAsia="仿宋_GB2312" w:cs="仿宋_GB2312"/>
          <w:color w:val="auto"/>
          <w:sz w:val="28"/>
          <w:szCs w:val="28"/>
        </w:rPr>
      </w:pPr>
    </w:p>
    <w:p w14:paraId="253389A5">
      <w:pPr>
        <w:spacing w:line="360" w:lineRule="auto"/>
        <w:rPr>
          <w:rFonts w:hint="eastAsia" w:ascii="仿宋_GB2312" w:hAnsi="仿宋_GB2312" w:eastAsia="仿宋_GB2312" w:cs="仿宋_GB2312"/>
          <w:color w:val="auto"/>
          <w:sz w:val="28"/>
          <w:szCs w:val="28"/>
        </w:rPr>
      </w:pPr>
    </w:p>
    <w:p w14:paraId="1D18FD05">
      <w:pPr>
        <w:spacing w:line="360" w:lineRule="auto"/>
        <w:rPr>
          <w:rFonts w:hint="eastAsia" w:ascii="仿宋_GB2312" w:hAnsi="仿宋_GB2312" w:eastAsia="仿宋_GB2312" w:cs="仿宋_GB2312"/>
          <w:color w:val="auto"/>
          <w:sz w:val="28"/>
          <w:szCs w:val="28"/>
        </w:rPr>
      </w:pPr>
    </w:p>
    <w:p w14:paraId="0D39A55D">
      <w:pPr>
        <w:spacing w:line="360" w:lineRule="auto"/>
        <w:rPr>
          <w:rFonts w:hint="eastAsia" w:ascii="仿宋_GB2312" w:hAnsi="仿宋_GB2312" w:eastAsia="仿宋_GB2312" w:cs="仿宋_GB2312"/>
          <w:color w:val="auto"/>
          <w:sz w:val="28"/>
          <w:szCs w:val="28"/>
        </w:rPr>
      </w:pPr>
    </w:p>
    <w:p w14:paraId="02DABA53">
      <w:pPr>
        <w:pStyle w:val="22"/>
        <w:ind w:left="420" w:firstLine="504"/>
        <w:rPr>
          <w:rFonts w:hint="eastAsia" w:ascii="仿宋_GB2312" w:hAnsi="仿宋_GB2312" w:eastAsia="仿宋_GB2312" w:cs="仿宋_GB2312"/>
          <w:color w:val="auto"/>
          <w:sz w:val="28"/>
          <w:szCs w:val="28"/>
        </w:rPr>
      </w:pPr>
    </w:p>
    <w:p w14:paraId="646C200E">
      <w:pPr>
        <w:spacing w:line="360" w:lineRule="auto"/>
        <w:ind w:firstLine="557" w:firstLineChars="199"/>
        <w:rPr>
          <w:rFonts w:hint="eastAsia" w:ascii="仿宋_GB2312" w:hAnsi="仿宋_GB2312" w:eastAsia="仿宋_GB2312" w:cs="仿宋_GB2312"/>
          <w:color w:val="auto"/>
          <w:sz w:val="28"/>
          <w:szCs w:val="28"/>
        </w:rPr>
      </w:pPr>
    </w:p>
    <w:p w14:paraId="56B91B51">
      <w:pPr>
        <w:widowControl w:val="0"/>
        <w:numPr>
          <w:ilvl w:val="0"/>
          <w:numId w:val="0"/>
        </w:numPr>
        <w:tabs>
          <w:tab w:val="left" w:pos="630"/>
          <w:tab w:val="left" w:pos="7665"/>
        </w:tabs>
        <w:adjustRightInd/>
        <w:spacing w:line="576" w:lineRule="exact"/>
        <w:ind w:firstLine="560" w:firstLineChars="200"/>
        <w:jc w:val="both"/>
        <w:rPr>
          <w:rFonts w:hint="eastAsia" w:ascii="仿宋_GB2312" w:hAnsi="仿宋_GB2312" w:eastAsia="仿宋_GB2312" w:cs="仿宋_GB2312"/>
          <w:bCs/>
          <w:color w:val="auto"/>
          <w:sz w:val="28"/>
          <w:szCs w:val="28"/>
        </w:rPr>
      </w:pPr>
      <w:bookmarkStart w:id="193" w:name="_Toc214858837"/>
      <w:bookmarkStart w:id="194" w:name="_Toc181520579"/>
      <w:bookmarkStart w:id="195" w:name="_Toc250042668"/>
      <w:r>
        <w:rPr>
          <w:rFonts w:hint="eastAsia" w:ascii="仿宋_GB2312" w:hAnsi="仿宋_GB2312" w:eastAsia="仿宋_GB2312" w:cs="仿宋_GB2312"/>
          <w:bCs/>
          <w:color w:val="auto"/>
          <w:sz w:val="28"/>
          <w:szCs w:val="28"/>
        </w:rPr>
        <w:t xml:space="preserve">供应商名称 （盖章）：        </w:t>
      </w:r>
    </w:p>
    <w:p w14:paraId="0242B105">
      <w:pPr>
        <w:widowControl w:val="0"/>
        <w:numPr>
          <w:ilvl w:val="0"/>
          <w:numId w:val="0"/>
        </w:numPr>
        <w:tabs>
          <w:tab w:val="left" w:pos="630"/>
          <w:tab w:val="left" w:pos="7665"/>
        </w:tabs>
        <w:adjustRightInd/>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法定代表人或授权代表（签字）：</w:t>
      </w:r>
    </w:p>
    <w:p w14:paraId="6763BE47">
      <w:pPr>
        <w:widowControl w:val="0"/>
        <w:numPr>
          <w:ilvl w:val="0"/>
          <w:numId w:val="0"/>
        </w:numPr>
        <w:tabs>
          <w:tab w:val="left" w:pos="630"/>
          <w:tab w:val="left" w:pos="7665"/>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日期：</w:t>
      </w:r>
    </w:p>
    <w:p w14:paraId="281F58BF">
      <w:pPr>
        <w:spacing w:line="700" w:lineRule="exact"/>
        <w:ind w:firstLine="560" w:firstLineChars="200"/>
        <w:rPr>
          <w:rFonts w:hint="eastAsia" w:ascii="仿宋_GB2312" w:hAnsi="仿宋_GB2312" w:eastAsia="仿宋_GB2312" w:cs="仿宋_GB2312"/>
          <w:bCs/>
          <w:color w:val="auto"/>
          <w:sz w:val="28"/>
          <w:szCs w:val="28"/>
        </w:rPr>
      </w:pPr>
    </w:p>
    <w:p w14:paraId="2DB417FB">
      <w:pPr>
        <w:spacing w:line="360" w:lineRule="auto"/>
        <w:ind w:firstLine="480" w:firstLineChars="200"/>
        <w:rPr>
          <w:rFonts w:ascii="Times New Roman"/>
          <w:bCs/>
          <w:color w:val="auto"/>
          <w:sz w:val="24"/>
        </w:rPr>
      </w:pPr>
    </w:p>
    <w:p w14:paraId="7CFBE5AC">
      <w:pPr>
        <w:spacing w:line="360" w:lineRule="auto"/>
        <w:ind w:firstLine="480" w:firstLineChars="200"/>
        <w:rPr>
          <w:rFonts w:ascii="Times New Roman"/>
          <w:bCs/>
          <w:color w:val="auto"/>
          <w:sz w:val="24"/>
        </w:rPr>
      </w:pPr>
    </w:p>
    <w:p w14:paraId="0F23D2F4">
      <w:pPr>
        <w:spacing w:line="360" w:lineRule="auto"/>
        <w:ind w:firstLine="480" w:firstLineChars="200"/>
        <w:rPr>
          <w:rFonts w:ascii="Times New Roman"/>
          <w:bCs/>
          <w:color w:val="auto"/>
          <w:sz w:val="24"/>
        </w:rPr>
      </w:pPr>
    </w:p>
    <w:p w14:paraId="5AD16BA5">
      <w:pPr>
        <w:rPr>
          <w:color w:val="auto"/>
        </w:rPr>
      </w:pPr>
      <w:bookmarkStart w:id="196" w:name="_Toc823"/>
    </w:p>
    <w:p w14:paraId="1BEE146F">
      <w:pPr>
        <w:rPr>
          <w:color w:val="auto"/>
        </w:rPr>
      </w:pPr>
    </w:p>
    <w:p w14:paraId="5F2FF55F">
      <w:pPr>
        <w:rPr>
          <w:color w:val="auto"/>
        </w:rPr>
      </w:pPr>
    </w:p>
    <w:p w14:paraId="571F2BBB">
      <w:pPr>
        <w:rPr>
          <w:color w:val="auto"/>
        </w:rPr>
      </w:pPr>
    </w:p>
    <w:p w14:paraId="3CAE45FF">
      <w:pPr>
        <w:pStyle w:val="5"/>
        <w:rPr>
          <w:color w:val="auto"/>
        </w:rPr>
      </w:pPr>
    </w:p>
    <w:p w14:paraId="31F2B9AC">
      <w:pPr>
        <w:pStyle w:val="5"/>
        <w:rPr>
          <w:color w:val="auto"/>
        </w:rPr>
        <w:sectPr>
          <w:pgSz w:w="11905" w:h="16838"/>
          <w:pgMar w:top="1984" w:right="1871" w:bottom="1984" w:left="1871" w:header="851" w:footer="850" w:gutter="0"/>
          <w:pgNumType w:fmt="chineseCounting"/>
          <w:cols w:space="720" w:num="1"/>
          <w:docGrid w:linePitch="312" w:charSpace="0"/>
        </w:sectPr>
      </w:pPr>
    </w:p>
    <w:bookmarkEnd w:id="193"/>
    <w:bookmarkEnd w:id="194"/>
    <w:bookmarkEnd w:id="195"/>
    <w:bookmarkEnd w:id="196"/>
    <w:p w14:paraId="7F14D58C">
      <w:pPr>
        <w:pStyle w:val="3"/>
        <w:jc w:val="center"/>
        <w:rPr>
          <w:rFonts w:hint="eastAsia" w:ascii="黑体" w:hAnsi="黑体" w:eastAsia="黑体" w:cs="黑体"/>
          <w:b w:val="0"/>
          <w:bCs w:val="0"/>
          <w:iCs w:val="0"/>
          <w:color w:val="auto"/>
          <w:sz w:val="30"/>
          <w:szCs w:val="30"/>
        </w:rPr>
      </w:pPr>
      <w:r>
        <w:rPr>
          <w:rFonts w:hint="eastAsia" w:ascii="黑体" w:hAnsi="黑体" w:eastAsia="黑体" w:cs="黑体"/>
          <w:b w:val="0"/>
          <w:bCs w:val="0"/>
          <w:iCs w:val="0"/>
          <w:color w:val="auto"/>
          <w:sz w:val="30"/>
          <w:szCs w:val="30"/>
        </w:rPr>
        <w:t>八、</w:t>
      </w:r>
      <w:r>
        <w:rPr>
          <w:rFonts w:hint="eastAsia" w:ascii="黑体" w:hAnsi="黑体" w:eastAsia="黑体" w:cs="黑体"/>
          <w:b w:val="0"/>
          <w:bCs w:val="0"/>
          <w:iCs w:val="0"/>
          <w:color w:val="auto"/>
          <w:sz w:val="30"/>
          <w:szCs w:val="30"/>
          <w:lang w:eastAsia="zh-CN"/>
        </w:rPr>
        <w:t>响应人</w:t>
      </w:r>
      <w:r>
        <w:rPr>
          <w:rFonts w:hint="eastAsia" w:ascii="黑体" w:hAnsi="黑体" w:eastAsia="黑体" w:cs="黑体"/>
          <w:b w:val="0"/>
          <w:bCs w:val="0"/>
          <w:iCs w:val="0"/>
          <w:color w:val="auto"/>
          <w:sz w:val="30"/>
          <w:szCs w:val="30"/>
        </w:rPr>
        <w:t>基本情况表</w:t>
      </w:r>
    </w:p>
    <w:tbl>
      <w:tblPr>
        <w:tblStyle w:val="23"/>
        <w:tblW w:w="8410" w:type="dxa"/>
        <w:jc w:val="center"/>
        <w:tblLayout w:type="fixed"/>
        <w:tblCellMar>
          <w:top w:w="11" w:type="dxa"/>
          <w:left w:w="0" w:type="dxa"/>
          <w:bottom w:w="11" w:type="dxa"/>
          <w:right w:w="0" w:type="dxa"/>
        </w:tblCellMar>
      </w:tblPr>
      <w:tblGrid>
        <w:gridCol w:w="2205"/>
        <w:gridCol w:w="1941"/>
        <w:gridCol w:w="548"/>
        <w:gridCol w:w="573"/>
        <w:gridCol w:w="317"/>
        <w:gridCol w:w="903"/>
        <w:gridCol w:w="244"/>
        <w:gridCol w:w="79"/>
        <w:gridCol w:w="433"/>
        <w:gridCol w:w="1167"/>
      </w:tblGrid>
      <w:tr w14:paraId="32A5D449">
        <w:tblPrEx>
          <w:tblCellMar>
            <w:top w:w="11" w:type="dxa"/>
            <w:left w:w="0" w:type="dxa"/>
            <w:bottom w:w="11" w:type="dxa"/>
            <w:right w:w="0" w:type="dxa"/>
          </w:tblCellMar>
        </w:tblPrEx>
        <w:trPr>
          <w:trHeight w:val="397" w:hRule="atLeast"/>
          <w:jc w:val="center"/>
        </w:trPr>
        <w:tc>
          <w:tcPr>
            <w:tcW w:w="2205" w:type="dxa"/>
            <w:tcBorders>
              <w:top w:val="single" w:color="000000" w:sz="4" w:space="0"/>
              <w:left w:val="single" w:color="000000" w:sz="4" w:space="0"/>
              <w:bottom w:val="single" w:color="000000" w:sz="6" w:space="0"/>
              <w:right w:val="single" w:color="000000" w:sz="6" w:space="0"/>
            </w:tcBorders>
            <w:noWrap w:val="0"/>
            <w:vAlign w:val="center"/>
          </w:tcPr>
          <w:p w14:paraId="1CE20B04">
            <w:pPr>
              <w:spacing w:line="280" w:lineRule="exact"/>
              <w:ind w:firstLine="0" w:firstLineChars="0"/>
              <w:rPr>
                <w:rFonts w:hint="eastAsia" w:ascii="宋体" w:hAnsi="宋体" w:eastAsia="宋体" w:cs="宋体"/>
                <w:b w:val="0"/>
                <w:bCs w:val="0"/>
                <w:color w:val="auto"/>
                <w:sz w:val="24"/>
                <w:szCs w:val="24"/>
              </w:rPr>
            </w:pPr>
            <w:r>
              <w:rPr>
                <w:rFonts w:hint="eastAsia" w:ascii="仿宋_GB2312" w:hAnsi="仿宋_GB2312" w:eastAsia="仿宋_GB2312" w:cs="仿宋_GB2312"/>
                <w:b w:val="0"/>
                <w:bCs w:val="0"/>
                <w:color w:val="auto"/>
                <w:sz w:val="24"/>
                <w:szCs w:val="24"/>
                <w:lang w:eastAsia="zh-CN"/>
              </w:rPr>
              <w:t>响应人</w:t>
            </w:r>
            <w:r>
              <w:rPr>
                <w:rFonts w:hint="eastAsia" w:ascii="仿宋_GB2312" w:hAnsi="仿宋_GB2312" w:eastAsia="仿宋_GB2312" w:cs="仿宋_GB2312"/>
                <w:b w:val="0"/>
                <w:bCs w:val="0"/>
                <w:color w:val="auto"/>
                <w:sz w:val="24"/>
                <w:szCs w:val="24"/>
              </w:rPr>
              <w:t>名称（盖章</w:t>
            </w:r>
            <w:r>
              <w:rPr>
                <w:rFonts w:hint="eastAsia" w:ascii="宋体" w:hAnsi="宋体" w:eastAsia="宋体" w:cs="宋体"/>
                <w:b w:val="0"/>
                <w:bCs w:val="0"/>
                <w:color w:val="auto"/>
                <w:sz w:val="24"/>
                <w:szCs w:val="24"/>
              </w:rPr>
              <w:t xml:space="preserve">） </w:t>
            </w:r>
          </w:p>
        </w:tc>
        <w:tc>
          <w:tcPr>
            <w:tcW w:w="6205" w:type="dxa"/>
            <w:gridSpan w:val="9"/>
            <w:tcBorders>
              <w:top w:val="single" w:color="000000" w:sz="4" w:space="0"/>
              <w:left w:val="single" w:color="000000" w:sz="6" w:space="0"/>
              <w:bottom w:val="single" w:color="000000" w:sz="6" w:space="0"/>
              <w:right w:val="single" w:color="000000" w:sz="4" w:space="0"/>
            </w:tcBorders>
            <w:noWrap w:val="0"/>
            <w:vAlign w:val="center"/>
          </w:tcPr>
          <w:p w14:paraId="4E0159EE">
            <w:pPr>
              <w:spacing w:line="280" w:lineRule="exact"/>
              <w:ind w:firstLine="0" w:firstLineChars="0"/>
              <w:jc w:val="both"/>
              <w:rPr>
                <w:rFonts w:hint="eastAsia" w:ascii="宋体" w:hAnsi="宋体" w:eastAsia="宋体" w:cs="宋体"/>
                <w:b w:val="0"/>
                <w:bCs w:val="0"/>
                <w:color w:val="auto"/>
                <w:sz w:val="24"/>
                <w:szCs w:val="24"/>
              </w:rPr>
            </w:pPr>
          </w:p>
        </w:tc>
      </w:tr>
      <w:tr w14:paraId="75497D9A">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0E9ACF48">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注册地址</w:t>
            </w:r>
          </w:p>
        </w:tc>
        <w:tc>
          <w:tcPr>
            <w:tcW w:w="3379" w:type="dxa"/>
            <w:gridSpan w:val="4"/>
            <w:tcBorders>
              <w:top w:val="single" w:color="000000" w:sz="6" w:space="0"/>
              <w:left w:val="single" w:color="000000" w:sz="6" w:space="0"/>
              <w:bottom w:val="single" w:color="000000" w:sz="6" w:space="0"/>
              <w:right w:val="single" w:color="000000" w:sz="6" w:space="0"/>
            </w:tcBorders>
            <w:noWrap w:val="0"/>
            <w:vAlign w:val="center"/>
          </w:tcPr>
          <w:p w14:paraId="413D4DAE">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1147" w:type="dxa"/>
            <w:gridSpan w:val="2"/>
            <w:tcBorders>
              <w:top w:val="single" w:color="000000" w:sz="6" w:space="0"/>
              <w:left w:val="single" w:color="000000" w:sz="6" w:space="0"/>
              <w:bottom w:val="single" w:color="000000" w:sz="6" w:space="0"/>
              <w:right w:val="single" w:color="000000" w:sz="6" w:space="0"/>
            </w:tcBorders>
            <w:noWrap w:val="0"/>
            <w:vAlign w:val="center"/>
          </w:tcPr>
          <w:p w14:paraId="26283C18">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邮政编码</w:t>
            </w:r>
          </w:p>
        </w:tc>
        <w:tc>
          <w:tcPr>
            <w:tcW w:w="1679" w:type="dxa"/>
            <w:gridSpan w:val="3"/>
            <w:tcBorders>
              <w:top w:val="single" w:color="000000" w:sz="6" w:space="0"/>
              <w:left w:val="single" w:color="000000" w:sz="6" w:space="0"/>
              <w:bottom w:val="single" w:color="000000" w:sz="6" w:space="0"/>
              <w:right w:val="single" w:color="000000" w:sz="4" w:space="0"/>
            </w:tcBorders>
            <w:noWrap w:val="0"/>
            <w:vAlign w:val="center"/>
          </w:tcPr>
          <w:p w14:paraId="1B294AE0">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13EF434F">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4AACAAE5">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联系人</w:t>
            </w:r>
          </w:p>
        </w:tc>
        <w:tc>
          <w:tcPr>
            <w:tcW w:w="3379" w:type="dxa"/>
            <w:gridSpan w:val="4"/>
            <w:tcBorders>
              <w:top w:val="single" w:color="000000" w:sz="6" w:space="0"/>
              <w:left w:val="single" w:color="000000" w:sz="6" w:space="0"/>
              <w:bottom w:val="single" w:color="000000" w:sz="6" w:space="0"/>
              <w:right w:val="single" w:color="000000" w:sz="6" w:space="0"/>
            </w:tcBorders>
            <w:noWrap w:val="0"/>
            <w:vAlign w:val="center"/>
          </w:tcPr>
          <w:p w14:paraId="749DB670">
            <w:pPr>
              <w:spacing w:line="280" w:lineRule="exact"/>
              <w:ind w:firstLine="0" w:firstLineChars="0"/>
              <w:jc w:val="center"/>
              <w:rPr>
                <w:rFonts w:hint="eastAsia" w:ascii="仿宋_GB2312" w:hAnsi="仿宋_GB2312" w:eastAsia="仿宋_GB2312" w:cs="仿宋_GB2312"/>
                <w:b w:val="0"/>
                <w:bCs w:val="0"/>
                <w:color w:val="auto"/>
                <w:sz w:val="24"/>
                <w:szCs w:val="24"/>
              </w:rPr>
            </w:pPr>
          </w:p>
          <w:p w14:paraId="0A6D5C4C">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c>
          <w:tcPr>
            <w:tcW w:w="1147" w:type="dxa"/>
            <w:gridSpan w:val="2"/>
            <w:tcBorders>
              <w:top w:val="single" w:color="000000" w:sz="6" w:space="0"/>
              <w:left w:val="single" w:color="000000" w:sz="6" w:space="0"/>
              <w:bottom w:val="single" w:color="000000" w:sz="6" w:space="0"/>
              <w:right w:val="single" w:color="000000" w:sz="6" w:space="0"/>
            </w:tcBorders>
            <w:noWrap w:val="0"/>
            <w:vAlign w:val="center"/>
          </w:tcPr>
          <w:p w14:paraId="424F82F5">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电话</w:t>
            </w:r>
          </w:p>
        </w:tc>
        <w:tc>
          <w:tcPr>
            <w:tcW w:w="1679" w:type="dxa"/>
            <w:gridSpan w:val="3"/>
            <w:tcBorders>
              <w:top w:val="single" w:color="000000" w:sz="6" w:space="0"/>
              <w:left w:val="single" w:color="000000" w:sz="6" w:space="0"/>
              <w:bottom w:val="single" w:color="000000" w:sz="6" w:space="0"/>
              <w:right w:val="single" w:color="000000" w:sz="4" w:space="0"/>
            </w:tcBorders>
            <w:noWrap w:val="0"/>
            <w:vAlign w:val="center"/>
          </w:tcPr>
          <w:p w14:paraId="56373649">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23DD30E7">
        <w:tblPrEx>
          <w:tblCellMar>
            <w:top w:w="11" w:type="dxa"/>
            <w:left w:w="0" w:type="dxa"/>
            <w:bottom w:w="11" w:type="dxa"/>
            <w:right w:w="0" w:type="dxa"/>
          </w:tblCellMar>
        </w:tblPrEx>
        <w:trPr>
          <w:trHeight w:val="397" w:hRule="atLeast"/>
          <w:jc w:val="center"/>
        </w:trPr>
        <w:tc>
          <w:tcPr>
            <w:tcW w:w="2205" w:type="dxa"/>
            <w:tcBorders>
              <w:top w:val="nil"/>
              <w:left w:val="single" w:color="000000" w:sz="4" w:space="0"/>
              <w:bottom w:val="single" w:color="000000" w:sz="6" w:space="0"/>
              <w:right w:val="single" w:color="000000" w:sz="6" w:space="0"/>
            </w:tcBorders>
            <w:noWrap w:val="0"/>
            <w:vAlign w:val="center"/>
          </w:tcPr>
          <w:p w14:paraId="432B0648">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传真</w:t>
            </w:r>
          </w:p>
        </w:tc>
        <w:tc>
          <w:tcPr>
            <w:tcW w:w="3379" w:type="dxa"/>
            <w:gridSpan w:val="4"/>
            <w:tcBorders>
              <w:top w:val="single" w:color="000000" w:sz="6" w:space="0"/>
              <w:left w:val="single" w:color="000000" w:sz="6" w:space="0"/>
              <w:bottom w:val="single" w:color="000000" w:sz="6" w:space="0"/>
              <w:right w:val="single" w:color="000000" w:sz="6" w:space="0"/>
            </w:tcBorders>
            <w:noWrap w:val="0"/>
            <w:vAlign w:val="center"/>
          </w:tcPr>
          <w:p w14:paraId="37F18A18">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c>
          <w:tcPr>
            <w:tcW w:w="1147" w:type="dxa"/>
            <w:gridSpan w:val="2"/>
            <w:tcBorders>
              <w:top w:val="single" w:color="000000" w:sz="6" w:space="0"/>
              <w:left w:val="single" w:color="000000" w:sz="6" w:space="0"/>
              <w:bottom w:val="single" w:color="000000" w:sz="6" w:space="0"/>
              <w:right w:val="single" w:color="000000" w:sz="6" w:space="0"/>
            </w:tcBorders>
            <w:noWrap w:val="0"/>
            <w:vAlign w:val="center"/>
          </w:tcPr>
          <w:p w14:paraId="28764596">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网址</w:t>
            </w:r>
          </w:p>
        </w:tc>
        <w:tc>
          <w:tcPr>
            <w:tcW w:w="1679" w:type="dxa"/>
            <w:gridSpan w:val="3"/>
            <w:tcBorders>
              <w:top w:val="single" w:color="000000" w:sz="6" w:space="0"/>
              <w:left w:val="single" w:color="000000" w:sz="6" w:space="0"/>
              <w:bottom w:val="single" w:color="000000" w:sz="6" w:space="0"/>
              <w:right w:val="single" w:color="000000" w:sz="4" w:space="0"/>
            </w:tcBorders>
            <w:noWrap w:val="0"/>
            <w:vAlign w:val="center"/>
          </w:tcPr>
          <w:p w14:paraId="56E87536">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4B958223">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00FEBA30">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法定代表人（签字）</w:t>
            </w:r>
          </w:p>
        </w:tc>
        <w:tc>
          <w:tcPr>
            <w:tcW w:w="1941" w:type="dxa"/>
            <w:tcBorders>
              <w:top w:val="single" w:color="000000" w:sz="6" w:space="0"/>
              <w:left w:val="single" w:color="000000" w:sz="6" w:space="0"/>
              <w:bottom w:val="single" w:color="000000" w:sz="6" w:space="0"/>
              <w:right w:val="single" w:color="000000" w:sz="6" w:space="0"/>
            </w:tcBorders>
            <w:noWrap w:val="0"/>
            <w:vAlign w:val="center"/>
          </w:tcPr>
          <w:p w14:paraId="786A3521">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c>
          <w:tcPr>
            <w:tcW w:w="1121" w:type="dxa"/>
            <w:gridSpan w:val="2"/>
            <w:tcBorders>
              <w:top w:val="single" w:color="000000" w:sz="6" w:space="0"/>
              <w:left w:val="single" w:color="000000" w:sz="6" w:space="0"/>
              <w:bottom w:val="single" w:color="000000" w:sz="6" w:space="0"/>
              <w:right w:val="single" w:color="000000" w:sz="6" w:space="0"/>
            </w:tcBorders>
            <w:noWrap w:val="0"/>
            <w:vAlign w:val="center"/>
          </w:tcPr>
          <w:p w14:paraId="579466DA">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技术职称</w:t>
            </w:r>
          </w:p>
        </w:tc>
        <w:tc>
          <w:tcPr>
            <w:tcW w:w="1220" w:type="dxa"/>
            <w:gridSpan w:val="2"/>
            <w:tcBorders>
              <w:top w:val="single" w:color="000000" w:sz="6" w:space="0"/>
              <w:left w:val="single" w:color="000000" w:sz="6" w:space="0"/>
              <w:bottom w:val="single" w:color="000000" w:sz="6" w:space="0"/>
              <w:right w:val="single" w:color="000000" w:sz="6" w:space="0"/>
            </w:tcBorders>
            <w:noWrap w:val="0"/>
            <w:vAlign w:val="center"/>
          </w:tcPr>
          <w:p w14:paraId="55C374FD">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c>
          <w:tcPr>
            <w:tcW w:w="756" w:type="dxa"/>
            <w:gridSpan w:val="3"/>
            <w:tcBorders>
              <w:top w:val="single" w:color="000000" w:sz="6" w:space="0"/>
              <w:left w:val="single" w:color="000000" w:sz="6" w:space="0"/>
              <w:bottom w:val="single" w:color="000000" w:sz="6" w:space="0"/>
              <w:right w:val="single" w:color="000000" w:sz="6" w:space="0"/>
            </w:tcBorders>
            <w:noWrap w:val="0"/>
            <w:vAlign w:val="center"/>
          </w:tcPr>
          <w:p w14:paraId="5307412C">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电话</w:t>
            </w:r>
          </w:p>
        </w:tc>
        <w:tc>
          <w:tcPr>
            <w:tcW w:w="1167" w:type="dxa"/>
            <w:tcBorders>
              <w:top w:val="single" w:color="000000" w:sz="6" w:space="0"/>
              <w:left w:val="single" w:color="000000" w:sz="6" w:space="0"/>
              <w:bottom w:val="single" w:color="000000" w:sz="6" w:space="0"/>
              <w:right w:val="single" w:color="000000" w:sz="4" w:space="0"/>
            </w:tcBorders>
            <w:noWrap w:val="0"/>
            <w:vAlign w:val="center"/>
          </w:tcPr>
          <w:p w14:paraId="451F3354">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4C8FE5CB">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0E8A5A41">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项目负责人（签字）</w:t>
            </w:r>
          </w:p>
        </w:tc>
        <w:tc>
          <w:tcPr>
            <w:tcW w:w="1941" w:type="dxa"/>
            <w:tcBorders>
              <w:top w:val="single" w:color="000000" w:sz="6" w:space="0"/>
              <w:left w:val="single" w:color="000000" w:sz="6" w:space="0"/>
              <w:bottom w:val="single" w:color="000000" w:sz="6" w:space="0"/>
              <w:right w:val="single" w:color="000000" w:sz="6" w:space="0"/>
            </w:tcBorders>
            <w:noWrap w:val="0"/>
            <w:vAlign w:val="center"/>
          </w:tcPr>
          <w:p w14:paraId="3513357A">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c>
          <w:tcPr>
            <w:tcW w:w="1121" w:type="dxa"/>
            <w:gridSpan w:val="2"/>
            <w:tcBorders>
              <w:top w:val="single" w:color="000000" w:sz="6" w:space="0"/>
              <w:left w:val="single" w:color="000000" w:sz="6" w:space="0"/>
              <w:bottom w:val="single" w:color="000000" w:sz="6" w:space="0"/>
              <w:right w:val="single" w:color="000000" w:sz="6" w:space="0"/>
            </w:tcBorders>
            <w:noWrap w:val="0"/>
            <w:vAlign w:val="center"/>
          </w:tcPr>
          <w:p w14:paraId="69818C62">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技术职称</w:t>
            </w:r>
          </w:p>
        </w:tc>
        <w:tc>
          <w:tcPr>
            <w:tcW w:w="1220" w:type="dxa"/>
            <w:gridSpan w:val="2"/>
            <w:tcBorders>
              <w:top w:val="single" w:color="000000" w:sz="6" w:space="0"/>
              <w:left w:val="single" w:color="000000" w:sz="6" w:space="0"/>
              <w:bottom w:val="single" w:color="000000" w:sz="6" w:space="0"/>
              <w:right w:val="single" w:color="000000" w:sz="6" w:space="0"/>
            </w:tcBorders>
            <w:noWrap w:val="0"/>
            <w:vAlign w:val="center"/>
          </w:tcPr>
          <w:p w14:paraId="475CDCC5">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c>
          <w:tcPr>
            <w:tcW w:w="756" w:type="dxa"/>
            <w:gridSpan w:val="3"/>
            <w:tcBorders>
              <w:top w:val="single" w:color="000000" w:sz="6" w:space="0"/>
              <w:left w:val="single" w:color="000000" w:sz="6" w:space="0"/>
              <w:bottom w:val="single" w:color="000000" w:sz="6" w:space="0"/>
              <w:right w:val="single" w:color="000000" w:sz="6" w:space="0"/>
            </w:tcBorders>
            <w:noWrap w:val="0"/>
            <w:vAlign w:val="center"/>
          </w:tcPr>
          <w:p w14:paraId="1FE37CCF">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电话</w:t>
            </w:r>
          </w:p>
        </w:tc>
        <w:tc>
          <w:tcPr>
            <w:tcW w:w="1167" w:type="dxa"/>
            <w:tcBorders>
              <w:top w:val="single" w:color="000000" w:sz="6" w:space="0"/>
              <w:left w:val="single" w:color="000000" w:sz="6" w:space="0"/>
              <w:bottom w:val="single" w:color="000000" w:sz="6" w:space="0"/>
              <w:right w:val="single" w:color="000000" w:sz="4" w:space="0"/>
            </w:tcBorders>
            <w:noWrap w:val="0"/>
            <w:vAlign w:val="center"/>
          </w:tcPr>
          <w:p w14:paraId="544AE32C">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5FDCD896">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48249392">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成立时间</w:t>
            </w:r>
          </w:p>
        </w:tc>
        <w:tc>
          <w:tcPr>
            <w:tcW w:w="1941" w:type="dxa"/>
            <w:tcBorders>
              <w:top w:val="single" w:color="000000" w:sz="6" w:space="0"/>
              <w:left w:val="single" w:color="000000" w:sz="6" w:space="0"/>
              <w:bottom w:val="single" w:color="000000" w:sz="6" w:space="0"/>
              <w:right w:val="single" w:color="000000" w:sz="6" w:space="0"/>
            </w:tcBorders>
            <w:noWrap w:val="0"/>
            <w:vAlign w:val="center"/>
          </w:tcPr>
          <w:p w14:paraId="607046DB">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4264" w:type="dxa"/>
            <w:gridSpan w:val="8"/>
            <w:tcBorders>
              <w:top w:val="single" w:color="000000" w:sz="6" w:space="0"/>
              <w:left w:val="single" w:color="000000" w:sz="6" w:space="0"/>
              <w:bottom w:val="single" w:color="000000" w:sz="6" w:space="0"/>
              <w:right w:val="single" w:color="000000" w:sz="4" w:space="0"/>
            </w:tcBorders>
            <w:noWrap w:val="0"/>
            <w:vAlign w:val="center"/>
          </w:tcPr>
          <w:p w14:paraId="31614650">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员工总人数：</w:t>
            </w:r>
          </w:p>
        </w:tc>
      </w:tr>
      <w:tr w14:paraId="3A7EF250">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39256673">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企业类型</w:t>
            </w:r>
          </w:p>
        </w:tc>
        <w:tc>
          <w:tcPr>
            <w:tcW w:w="1941" w:type="dxa"/>
            <w:tcBorders>
              <w:top w:val="single" w:color="000000" w:sz="6" w:space="0"/>
              <w:left w:val="single" w:color="000000" w:sz="6" w:space="0"/>
              <w:bottom w:val="single" w:color="000000" w:sz="6" w:space="0"/>
              <w:right w:val="single" w:color="000000" w:sz="6" w:space="0"/>
            </w:tcBorders>
            <w:noWrap w:val="0"/>
            <w:vAlign w:val="center"/>
          </w:tcPr>
          <w:p w14:paraId="26CDFFC4">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548" w:type="dxa"/>
            <w:vMerge w:val="restart"/>
            <w:tcBorders>
              <w:top w:val="single" w:color="000000" w:sz="6" w:space="0"/>
              <w:left w:val="single" w:color="000000" w:sz="6" w:space="0"/>
              <w:right w:val="single" w:color="000000" w:sz="6" w:space="0"/>
            </w:tcBorders>
            <w:noWrap w:val="0"/>
            <w:vAlign w:val="center"/>
          </w:tcPr>
          <w:p w14:paraId="3397534F">
            <w:pPr>
              <w:spacing w:after="0"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其</w:t>
            </w:r>
          </w:p>
          <w:p w14:paraId="0AABB673">
            <w:pPr>
              <w:spacing w:after="0" w:line="280" w:lineRule="exact"/>
              <w:ind w:right="0" w:firstLine="0" w:firstLineChars="0"/>
              <w:jc w:val="center"/>
              <w:rPr>
                <w:rFonts w:hint="eastAsia" w:ascii="仿宋_GB2312" w:hAnsi="仿宋_GB2312" w:eastAsia="仿宋_GB2312" w:cs="仿宋_GB2312"/>
                <w:b w:val="0"/>
                <w:bCs w:val="0"/>
                <w:color w:val="auto"/>
                <w:sz w:val="24"/>
                <w:szCs w:val="24"/>
              </w:rPr>
            </w:pPr>
          </w:p>
          <w:p w14:paraId="3EFB3107">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中</w:t>
            </w:r>
          </w:p>
          <w:p w14:paraId="30E9A160">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c>
          <w:tcPr>
            <w:tcW w:w="2116" w:type="dxa"/>
            <w:gridSpan w:val="5"/>
            <w:vMerge w:val="restart"/>
            <w:tcBorders>
              <w:top w:val="single" w:color="000000" w:sz="6" w:space="0"/>
              <w:left w:val="single" w:color="000000" w:sz="6" w:space="0"/>
              <w:right w:val="single" w:color="000000" w:sz="6" w:space="0"/>
            </w:tcBorders>
            <w:noWrap w:val="0"/>
            <w:vAlign w:val="center"/>
          </w:tcPr>
          <w:p w14:paraId="341C25A1">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高级技术人员</w:t>
            </w:r>
          </w:p>
        </w:tc>
        <w:tc>
          <w:tcPr>
            <w:tcW w:w="1600" w:type="dxa"/>
            <w:gridSpan w:val="2"/>
            <w:vMerge w:val="restart"/>
            <w:tcBorders>
              <w:top w:val="single" w:color="000000" w:sz="6" w:space="0"/>
              <w:left w:val="single" w:color="000000" w:sz="6" w:space="0"/>
              <w:right w:val="single" w:color="000000" w:sz="4" w:space="0"/>
            </w:tcBorders>
            <w:noWrap w:val="0"/>
            <w:vAlign w:val="center"/>
          </w:tcPr>
          <w:p w14:paraId="7D14AC39">
            <w:pPr>
              <w:spacing w:line="280" w:lineRule="exact"/>
              <w:ind w:right="0" w:firstLine="0" w:firstLineChars="0"/>
              <w:jc w:val="center"/>
              <w:rPr>
                <w:rFonts w:hint="eastAsia" w:ascii="仿宋_GB2312" w:hAnsi="仿宋_GB2312" w:eastAsia="仿宋_GB2312" w:cs="仿宋_GB2312"/>
                <w:b w:val="0"/>
                <w:bCs w:val="0"/>
                <w:color w:val="auto"/>
                <w:sz w:val="24"/>
                <w:szCs w:val="24"/>
              </w:rPr>
            </w:pPr>
          </w:p>
          <w:p w14:paraId="1E8E19DE">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2EC36594">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643D64D8">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营业执照号</w:t>
            </w:r>
          </w:p>
        </w:tc>
        <w:tc>
          <w:tcPr>
            <w:tcW w:w="1941" w:type="dxa"/>
            <w:tcBorders>
              <w:top w:val="single" w:color="000000" w:sz="6" w:space="0"/>
              <w:left w:val="single" w:color="000000" w:sz="6" w:space="0"/>
              <w:bottom w:val="single" w:color="000000" w:sz="6" w:space="0"/>
              <w:right w:val="single" w:color="000000" w:sz="6" w:space="0"/>
            </w:tcBorders>
            <w:noWrap w:val="0"/>
            <w:vAlign w:val="center"/>
          </w:tcPr>
          <w:p w14:paraId="2ACB7A8A">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548" w:type="dxa"/>
            <w:vMerge w:val="continue"/>
            <w:tcBorders>
              <w:left w:val="single" w:color="000000" w:sz="6" w:space="0"/>
              <w:right w:val="single" w:color="000000" w:sz="6" w:space="0"/>
            </w:tcBorders>
            <w:noWrap w:val="0"/>
            <w:vAlign w:val="center"/>
          </w:tcPr>
          <w:p w14:paraId="7597EF48">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2116" w:type="dxa"/>
            <w:gridSpan w:val="5"/>
            <w:vMerge w:val="continue"/>
            <w:tcBorders>
              <w:left w:val="single" w:color="000000" w:sz="6" w:space="0"/>
              <w:bottom w:val="single" w:color="000000" w:sz="6" w:space="0"/>
              <w:right w:val="single" w:color="000000" w:sz="6" w:space="0"/>
            </w:tcBorders>
            <w:noWrap w:val="0"/>
            <w:vAlign w:val="center"/>
          </w:tcPr>
          <w:p w14:paraId="425B9208">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1600" w:type="dxa"/>
            <w:gridSpan w:val="2"/>
            <w:vMerge w:val="continue"/>
            <w:tcBorders>
              <w:left w:val="single" w:color="000000" w:sz="6" w:space="0"/>
              <w:bottom w:val="single" w:color="000000" w:sz="6" w:space="0"/>
              <w:right w:val="single" w:color="000000" w:sz="4" w:space="0"/>
            </w:tcBorders>
            <w:noWrap w:val="0"/>
            <w:vAlign w:val="center"/>
          </w:tcPr>
          <w:p w14:paraId="35357EAA">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49EF4387">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4712EC5F">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注册资金</w:t>
            </w:r>
          </w:p>
        </w:tc>
        <w:tc>
          <w:tcPr>
            <w:tcW w:w="1941" w:type="dxa"/>
            <w:tcBorders>
              <w:top w:val="single" w:color="000000" w:sz="6" w:space="0"/>
              <w:left w:val="single" w:color="000000" w:sz="6" w:space="0"/>
              <w:bottom w:val="single" w:color="000000" w:sz="6" w:space="0"/>
              <w:right w:val="single" w:color="000000" w:sz="6" w:space="0"/>
            </w:tcBorders>
            <w:noWrap w:val="0"/>
            <w:vAlign w:val="center"/>
          </w:tcPr>
          <w:p w14:paraId="6E3464FB">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548" w:type="dxa"/>
            <w:vMerge w:val="continue"/>
            <w:tcBorders>
              <w:left w:val="single" w:color="000000" w:sz="6" w:space="0"/>
              <w:right w:val="single" w:color="000000" w:sz="6" w:space="0"/>
            </w:tcBorders>
            <w:noWrap w:val="0"/>
            <w:vAlign w:val="center"/>
          </w:tcPr>
          <w:p w14:paraId="53C5CB56">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2116" w:type="dxa"/>
            <w:gridSpan w:val="5"/>
            <w:tcBorders>
              <w:top w:val="single" w:color="000000" w:sz="6" w:space="0"/>
              <w:left w:val="single" w:color="000000" w:sz="6" w:space="0"/>
              <w:bottom w:val="single" w:color="000000" w:sz="6" w:space="0"/>
              <w:right w:val="single" w:color="000000" w:sz="6" w:space="0"/>
            </w:tcBorders>
            <w:noWrap w:val="0"/>
            <w:vAlign w:val="center"/>
          </w:tcPr>
          <w:p w14:paraId="434153AE">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中级技术人员</w:t>
            </w:r>
          </w:p>
        </w:tc>
        <w:tc>
          <w:tcPr>
            <w:tcW w:w="1600" w:type="dxa"/>
            <w:gridSpan w:val="2"/>
            <w:tcBorders>
              <w:top w:val="single" w:color="000000" w:sz="6" w:space="0"/>
              <w:left w:val="single" w:color="000000" w:sz="6" w:space="0"/>
              <w:bottom w:val="single" w:color="000000" w:sz="6" w:space="0"/>
              <w:right w:val="single" w:color="000000" w:sz="4" w:space="0"/>
            </w:tcBorders>
            <w:noWrap w:val="0"/>
            <w:vAlign w:val="center"/>
          </w:tcPr>
          <w:p w14:paraId="3EA09AFD">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0C9809A2">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right w:val="single" w:color="000000" w:sz="6" w:space="0"/>
            </w:tcBorders>
            <w:noWrap w:val="0"/>
            <w:vAlign w:val="center"/>
          </w:tcPr>
          <w:p w14:paraId="7F5D718E">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开户银行</w:t>
            </w:r>
          </w:p>
        </w:tc>
        <w:tc>
          <w:tcPr>
            <w:tcW w:w="1941" w:type="dxa"/>
            <w:tcBorders>
              <w:top w:val="single" w:color="000000" w:sz="6" w:space="0"/>
              <w:left w:val="single" w:color="000000" w:sz="6" w:space="0"/>
              <w:right w:val="single" w:color="000000" w:sz="6" w:space="0"/>
            </w:tcBorders>
            <w:noWrap w:val="0"/>
            <w:vAlign w:val="center"/>
          </w:tcPr>
          <w:p w14:paraId="7C6F2144">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548" w:type="dxa"/>
            <w:vMerge w:val="continue"/>
            <w:tcBorders>
              <w:left w:val="single" w:color="000000" w:sz="6" w:space="0"/>
              <w:right w:val="single" w:color="000000" w:sz="6" w:space="0"/>
            </w:tcBorders>
            <w:noWrap w:val="0"/>
            <w:vAlign w:val="center"/>
          </w:tcPr>
          <w:p w14:paraId="7098875D">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2116" w:type="dxa"/>
            <w:gridSpan w:val="5"/>
            <w:tcBorders>
              <w:top w:val="single" w:color="000000" w:sz="6" w:space="0"/>
              <w:left w:val="single" w:color="000000" w:sz="6" w:space="0"/>
              <w:bottom w:val="single" w:color="000000" w:sz="6" w:space="0"/>
              <w:right w:val="single" w:color="000000" w:sz="6" w:space="0"/>
            </w:tcBorders>
            <w:noWrap w:val="0"/>
            <w:vAlign w:val="center"/>
          </w:tcPr>
          <w:p w14:paraId="4FD2AEA4">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初级技术人员</w:t>
            </w:r>
          </w:p>
        </w:tc>
        <w:tc>
          <w:tcPr>
            <w:tcW w:w="1600" w:type="dxa"/>
            <w:gridSpan w:val="2"/>
            <w:tcBorders>
              <w:top w:val="single" w:color="000000" w:sz="6" w:space="0"/>
              <w:left w:val="single" w:color="000000" w:sz="6" w:space="0"/>
              <w:right w:val="single" w:color="000000" w:sz="4" w:space="0"/>
            </w:tcBorders>
            <w:noWrap w:val="0"/>
            <w:vAlign w:val="center"/>
          </w:tcPr>
          <w:p w14:paraId="5557EF31">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499EFA91">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2490BB43">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账号</w:t>
            </w:r>
          </w:p>
        </w:tc>
        <w:tc>
          <w:tcPr>
            <w:tcW w:w="1941" w:type="dxa"/>
            <w:tcBorders>
              <w:top w:val="single" w:color="000000" w:sz="6" w:space="0"/>
              <w:left w:val="single" w:color="000000" w:sz="6" w:space="0"/>
              <w:bottom w:val="single" w:color="000000" w:sz="6" w:space="0"/>
              <w:right w:val="single" w:color="000000" w:sz="6" w:space="0"/>
            </w:tcBorders>
            <w:noWrap w:val="0"/>
            <w:vAlign w:val="center"/>
          </w:tcPr>
          <w:p w14:paraId="1E025A81">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548" w:type="dxa"/>
            <w:vMerge w:val="continue"/>
            <w:tcBorders>
              <w:left w:val="single" w:color="000000" w:sz="6" w:space="0"/>
              <w:bottom w:val="single" w:color="000000" w:sz="6" w:space="0"/>
              <w:right w:val="single" w:color="000000" w:sz="6" w:space="0"/>
            </w:tcBorders>
            <w:noWrap w:val="0"/>
            <w:vAlign w:val="center"/>
          </w:tcPr>
          <w:p w14:paraId="3EDE96C2">
            <w:pPr>
              <w:spacing w:line="280" w:lineRule="exact"/>
              <w:ind w:firstLine="0" w:firstLineChars="0"/>
              <w:jc w:val="center"/>
              <w:rPr>
                <w:rFonts w:hint="eastAsia" w:ascii="仿宋_GB2312" w:hAnsi="仿宋_GB2312" w:eastAsia="仿宋_GB2312" w:cs="仿宋_GB2312"/>
                <w:b w:val="0"/>
                <w:bCs w:val="0"/>
                <w:color w:val="auto"/>
                <w:sz w:val="24"/>
                <w:szCs w:val="24"/>
              </w:rPr>
            </w:pPr>
          </w:p>
        </w:tc>
        <w:tc>
          <w:tcPr>
            <w:tcW w:w="2116" w:type="dxa"/>
            <w:gridSpan w:val="5"/>
            <w:tcBorders>
              <w:top w:val="single" w:color="000000" w:sz="6" w:space="0"/>
              <w:left w:val="single" w:color="000000" w:sz="6" w:space="0"/>
              <w:bottom w:val="single" w:color="000000" w:sz="6" w:space="0"/>
              <w:right w:val="single" w:color="000000" w:sz="6" w:space="0"/>
            </w:tcBorders>
            <w:noWrap w:val="0"/>
            <w:vAlign w:val="center"/>
          </w:tcPr>
          <w:p w14:paraId="1FFCB601">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行政岗位人员</w:t>
            </w:r>
          </w:p>
        </w:tc>
        <w:tc>
          <w:tcPr>
            <w:tcW w:w="1600" w:type="dxa"/>
            <w:gridSpan w:val="2"/>
            <w:tcBorders>
              <w:top w:val="single" w:color="000000" w:sz="6" w:space="0"/>
              <w:left w:val="single" w:color="000000" w:sz="6" w:space="0"/>
              <w:bottom w:val="single" w:color="000000" w:sz="6" w:space="0"/>
              <w:right w:val="single" w:color="000000" w:sz="4" w:space="0"/>
            </w:tcBorders>
            <w:noWrap w:val="0"/>
            <w:vAlign w:val="center"/>
          </w:tcPr>
          <w:p w14:paraId="4F573345">
            <w:pPr>
              <w:spacing w:line="280" w:lineRule="exact"/>
              <w:ind w:right="0" w:firstLine="0" w:firstLineChars="0"/>
              <w:jc w:val="center"/>
              <w:rPr>
                <w:rFonts w:hint="eastAsia" w:ascii="仿宋_GB2312" w:hAnsi="仿宋_GB2312" w:eastAsia="仿宋_GB2312" w:cs="仿宋_GB2312"/>
                <w:b w:val="0"/>
                <w:bCs w:val="0"/>
                <w:color w:val="auto"/>
                <w:sz w:val="24"/>
                <w:szCs w:val="24"/>
              </w:rPr>
            </w:pPr>
          </w:p>
        </w:tc>
      </w:tr>
      <w:tr w14:paraId="544D2B52">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6" w:space="0"/>
              <w:right w:val="single" w:color="000000" w:sz="6" w:space="0"/>
            </w:tcBorders>
            <w:noWrap w:val="0"/>
            <w:vAlign w:val="center"/>
          </w:tcPr>
          <w:p w14:paraId="66F52ED1">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经营范围</w:t>
            </w:r>
          </w:p>
        </w:tc>
        <w:tc>
          <w:tcPr>
            <w:tcW w:w="6205" w:type="dxa"/>
            <w:gridSpan w:val="9"/>
            <w:tcBorders>
              <w:top w:val="single" w:color="000000" w:sz="6" w:space="0"/>
              <w:left w:val="single" w:color="000000" w:sz="6" w:space="0"/>
              <w:bottom w:val="single" w:color="000000" w:sz="6" w:space="0"/>
              <w:right w:val="single" w:color="000000" w:sz="4" w:space="0"/>
            </w:tcBorders>
            <w:noWrap w:val="0"/>
            <w:vAlign w:val="center"/>
          </w:tcPr>
          <w:p w14:paraId="67F02B36">
            <w:pPr>
              <w:spacing w:line="280" w:lineRule="exact"/>
              <w:ind w:firstLine="0" w:firstLineChars="0"/>
              <w:jc w:val="center"/>
              <w:rPr>
                <w:rFonts w:hint="eastAsia" w:ascii="仿宋_GB2312" w:hAnsi="仿宋_GB2312" w:eastAsia="仿宋_GB2312" w:cs="仿宋_GB2312"/>
                <w:b w:val="0"/>
                <w:bCs w:val="0"/>
                <w:color w:val="auto"/>
                <w:sz w:val="24"/>
                <w:szCs w:val="24"/>
              </w:rPr>
            </w:pPr>
          </w:p>
        </w:tc>
      </w:tr>
      <w:tr w14:paraId="490BF1DF">
        <w:tblPrEx>
          <w:tblCellMar>
            <w:top w:w="11" w:type="dxa"/>
            <w:left w:w="0" w:type="dxa"/>
            <w:bottom w:w="11" w:type="dxa"/>
            <w:right w:w="0" w:type="dxa"/>
          </w:tblCellMar>
        </w:tblPrEx>
        <w:trPr>
          <w:trHeight w:val="397" w:hRule="atLeast"/>
          <w:jc w:val="center"/>
        </w:trPr>
        <w:tc>
          <w:tcPr>
            <w:tcW w:w="2205" w:type="dxa"/>
            <w:tcBorders>
              <w:top w:val="single" w:color="000000" w:sz="6" w:space="0"/>
              <w:left w:val="single" w:color="000000" w:sz="4" w:space="0"/>
              <w:bottom w:val="single" w:color="000000" w:sz="4" w:space="0"/>
              <w:right w:val="single" w:color="000000" w:sz="6" w:space="0"/>
            </w:tcBorders>
            <w:noWrap w:val="0"/>
            <w:vAlign w:val="center"/>
          </w:tcPr>
          <w:p w14:paraId="6BCD97C5">
            <w:pPr>
              <w:spacing w:line="280" w:lineRule="exact"/>
              <w:ind w:right="0"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备注</w:t>
            </w:r>
          </w:p>
        </w:tc>
        <w:tc>
          <w:tcPr>
            <w:tcW w:w="6205" w:type="dxa"/>
            <w:gridSpan w:val="9"/>
            <w:tcBorders>
              <w:top w:val="single" w:color="000000" w:sz="6" w:space="0"/>
              <w:left w:val="single" w:color="000000" w:sz="6" w:space="0"/>
              <w:bottom w:val="single" w:color="000000" w:sz="4" w:space="0"/>
              <w:right w:val="single" w:color="000000" w:sz="4" w:space="0"/>
            </w:tcBorders>
            <w:noWrap w:val="0"/>
            <w:vAlign w:val="center"/>
          </w:tcPr>
          <w:p w14:paraId="51F2E203">
            <w:pPr>
              <w:spacing w:line="280" w:lineRule="exact"/>
              <w:ind w:firstLine="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须提供公司简介</w:t>
            </w:r>
          </w:p>
        </w:tc>
      </w:tr>
    </w:tbl>
    <w:p w14:paraId="6443BEFB">
      <w:pPr>
        <w:widowControl w:val="0"/>
        <w:spacing w:line="576" w:lineRule="exact"/>
        <w:jc w:val="righ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响应人</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u w:val="single"/>
        </w:rPr>
        <w:t>（全称并加盖公章）</w:t>
      </w:r>
    </w:p>
    <w:p w14:paraId="5E2FA4E7">
      <w:pPr>
        <w:widowControl w:val="0"/>
        <w:wordWrap w:val="0"/>
        <w:spacing w:line="576" w:lineRule="exact"/>
        <w:jc w:val="righ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法定代表人签字</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u w:val="single"/>
        </w:rPr>
        <w:t xml:space="preserve">              </w:t>
      </w:r>
    </w:p>
    <w:p w14:paraId="55828BD2">
      <w:pPr>
        <w:widowControl w:val="0"/>
        <w:spacing w:line="576" w:lineRule="exact"/>
        <w:jc w:val="right"/>
        <w:rPr>
          <w:rFonts w:ascii="Times New Roman" w:hAnsi="Times New Roman"/>
          <w:color w:val="auto"/>
          <w:sz w:val="24"/>
        </w:rPr>
        <w:sectPr>
          <w:pgSz w:w="11905" w:h="16838"/>
          <w:pgMar w:top="1984" w:right="1871" w:bottom="1984" w:left="1871" w:header="851" w:footer="850" w:gutter="0"/>
          <w:pgNumType w:fmt="chineseCounting"/>
          <w:cols w:space="720" w:num="1"/>
          <w:docGrid w:linePitch="312" w:charSpace="0"/>
        </w:sectPr>
      </w:pPr>
      <w:r>
        <w:rPr>
          <w:rFonts w:hint="eastAsia" w:ascii="仿宋_GB2312" w:hAnsi="仿宋_GB2312" w:eastAsia="仿宋_GB2312" w:cs="仿宋_GB2312"/>
          <w:color w:val="auto"/>
          <w:sz w:val="28"/>
          <w:szCs w:val="28"/>
        </w:rPr>
        <w:t>日期：        年   月   日</w:t>
      </w:r>
      <w:bookmarkStart w:id="197" w:name="_Toc26131"/>
      <w:bookmarkStart w:id="198" w:name="_Toc3748"/>
      <w:bookmarkStart w:id="199" w:name="_Toc4763"/>
    </w:p>
    <w:p w14:paraId="5A1E3AC0">
      <w:pPr>
        <w:pStyle w:val="3"/>
        <w:jc w:val="center"/>
        <w:rPr>
          <w:rFonts w:hint="eastAsia" w:ascii="黑体" w:hAnsi="黑体" w:eastAsia="黑体" w:cs="黑体"/>
          <w:b w:val="0"/>
          <w:bCs w:val="0"/>
          <w:iCs w:val="0"/>
          <w:color w:val="auto"/>
          <w:sz w:val="30"/>
          <w:szCs w:val="30"/>
        </w:rPr>
      </w:pPr>
      <w:r>
        <w:rPr>
          <w:rFonts w:hint="eastAsia" w:ascii="黑体" w:hAnsi="黑体" w:eastAsia="黑体" w:cs="黑体"/>
          <w:b w:val="0"/>
          <w:bCs w:val="0"/>
          <w:iCs w:val="0"/>
          <w:color w:val="auto"/>
          <w:sz w:val="30"/>
          <w:szCs w:val="30"/>
        </w:rPr>
        <w:t>九、业绩情况表</w:t>
      </w:r>
      <w:bookmarkEnd w:id="197"/>
      <w:bookmarkEnd w:id="19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825"/>
        <w:gridCol w:w="2047"/>
        <w:gridCol w:w="1635"/>
        <w:gridCol w:w="1330"/>
      </w:tblGrid>
      <w:tr w14:paraId="1EDF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B3355DD">
            <w:pPr>
              <w:spacing w:line="280" w:lineRule="exact"/>
              <w:ind w:firstLine="0" w:firstLineChars="0"/>
              <w:jc w:val="center"/>
              <w:rPr>
                <w:rFonts w:hint="eastAsia" w:ascii="仿宋_GB2312" w:hAnsi="仿宋_GB2312" w:eastAsia="仿宋_GB2312" w:cs="仿宋_GB2312"/>
                <w:bCs w:val="0"/>
                <w:color w:val="auto"/>
                <w:sz w:val="24"/>
                <w:szCs w:val="24"/>
              </w:rPr>
            </w:pPr>
            <w:bookmarkStart w:id="200" w:name="_Toc192353075"/>
            <w:r>
              <w:rPr>
                <w:rFonts w:hint="eastAsia" w:ascii="仿宋_GB2312" w:hAnsi="仿宋_GB2312" w:eastAsia="仿宋_GB2312" w:cs="仿宋_GB2312"/>
                <w:bCs w:val="0"/>
                <w:color w:val="auto"/>
                <w:sz w:val="24"/>
                <w:szCs w:val="24"/>
              </w:rPr>
              <w:t>序号</w:t>
            </w:r>
            <w:bookmarkEnd w:id="200"/>
          </w:p>
        </w:tc>
        <w:tc>
          <w:tcPr>
            <w:tcW w:w="2825" w:type="dxa"/>
            <w:tcBorders>
              <w:top w:val="single" w:color="auto" w:sz="4" w:space="0"/>
              <w:left w:val="single" w:color="auto" w:sz="4" w:space="0"/>
              <w:bottom w:val="single" w:color="auto" w:sz="4" w:space="0"/>
              <w:right w:val="single" w:color="auto" w:sz="4" w:space="0"/>
            </w:tcBorders>
            <w:noWrap w:val="0"/>
            <w:vAlign w:val="center"/>
          </w:tcPr>
          <w:p w14:paraId="6D809E8B">
            <w:pPr>
              <w:spacing w:line="280" w:lineRule="exact"/>
              <w:ind w:firstLine="0" w:firstLineChars="0"/>
              <w:jc w:val="center"/>
              <w:rPr>
                <w:rFonts w:hint="eastAsia" w:ascii="仿宋_GB2312" w:hAnsi="仿宋_GB2312" w:eastAsia="仿宋_GB2312" w:cs="仿宋_GB2312"/>
                <w:bCs w:val="0"/>
                <w:color w:val="auto"/>
                <w:sz w:val="24"/>
                <w:szCs w:val="24"/>
              </w:rPr>
            </w:pPr>
            <w:bookmarkStart w:id="201" w:name="_Toc192353076"/>
            <w:r>
              <w:rPr>
                <w:rFonts w:hint="eastAsia" w:ascii="仿宋_GB2312" w:hAnsi="仿宋_GB2312" w:eastAsia="仿宋_GB2312" w:cs="仿宋_GB2312"/>
                <w:bCs w:val="0"/>
                <w:color w:val="auto"/>
                <w:sz w:val="24"/>
                <w:szCs w:val="24"/>
              </w:rPr>
              <w:t>甲方名称</w:t>
            </w:r>
            <w:bookmarkEnd w:id="201"/>
          </w:p>
        </w:tc>
        <w:tc>
          <w:tcPr>
            <w:tcW w:w="2047" w:type="dxa"/>
            <w:tcBorders>
              <w:top w:val="single" w:color="auto" w:sz="4" w:space="0"/>
              <w:left w:val="single" w:color="auto" w:sz="4" w:space="0"/>
              <w:bottom w:val="single" w:color="auto" w:sz="4" w:space="0"/>
              <w:right w:val="single" w:color="auto" w:sz="4" w:space="0"/>
            </w:tcBorders>
            <w:noWrap w:val="0"/>
            <w:vAlign w:val="center"/>
          </w:tcPr>
          <w:p w14:paraId="6C5EBD84">
            <w:pPr>
              <w:spacing w:line="280" w:lineRule="exact"/>
              <w:ind w:firstLine="0" w:firstLineChars="0"/>
              <w:jc w:val="center"/>
              <w:rPr>
                <w:rFonts w:hint="eastAsia" w:ascii="仿宋_GB2312" w:hAnsi="仿宋_GB2312" w:eastAsia="仿宋_GB2312" w:cs="仿宋_GB2312"/>
                <w:bCs w:val="0"/>
                <w:color w:val="auto"/>
                <w:sz w:val="24"/>
                <w:szCs w:val="24"/>
              </w:rPr>
            </w:pPr>
            <w:bookmarkStart w:id="202" w:name="_Toc192353078"/>
            <w:r>
              <w:rPr>
                <w:rFonts w:hint="eastAsia" w:ascii="仿宋_GB2312" w:hAnsi="仿宋_GB2312" w:eastAsia="仿宋_GB2312" w:cs="仿宋_GB2312"/>
                <w:bCs w:val="0"/>
                <w:color w:val="auto"/>
                <w:sz w:val="24"/>
                <w:szCs w:val="24"/>
              </w:rPr>
              <w:t>项目名称</w:t>
            </w:r>
            <w:bookmarkEnd w:id="202"/>
          </w:p>
        </w:tc>
        <w:tc>
          <w:tcPr>
            <w:tcW w:w="1635" w:type="dxa"/>
            <w:tcBorders>
              <w:top w:val="single" w:color="auto" w:sz="4" w:space="0"/>
              <w:left w:val="single" w:color="auto" w:sz="4" w:space="0"/>
              <w:bottom w:val="single" w:color="auto" w:sz="4" w:space="0"/>
              <w:right w:val="single" w:color="auto" w:sz="4" w:space="0"/>
            </w:tcBorders>
            <w:noWrap w:val="0"/>
            <w:vAlign w:val="center"/>
          </w:tcPr>
          <w:p w14:paraId="2A57CBAF">
            <w:pPr>
              <w:spacing w:line="280" w:lineRule="exact"/>
              <w:ind w:firstLine="0" w:firstLineChars="0"/>
              <w:jc w:val="center"/>
              <w:rPr>
                <w:rFonts w:hint="eastAsia" w:ascii="仿宋_GB2312" w:hAnsi="仿宋_GB2312" w:eastAsia="仿宋_GB2312" w:cs="仿宋_GB2312"/>
                <w:bCs w:val="0"/>
                <w:color w:val="auto"/>
                <w:sz w:val="24"/>
                <w:szCs w:val="24"/>
              </w:rPr>
            </w:pPr>
            <w:bookmarkStart w:id="203" w:name="_Toc192353081"/>
            <w:r>
              <w:rPr>
                <w:rFonts w:hint="eastAsia" w:ascii="仿宋_GB2312" w:hAnsi="仿宋_GB2312" w:eastAsia="仿宋_GB2312" w:cs="仿宋_GB2312"/>
                <w:bCs w:val="0"/>
                <w:color w:val="auto"/>
                <w:sz w:val="24"/>
                <w:szCs w:val="24"/>
              </w:rPr>
              <w:t>合同金额</w:t>
            </w:r>
            <w:bookmarkEnd w:id="203"/>
            <w:bookmarkStart w:id="204" w:name="_Toc192353082"/>
          </w:p>
          <w:p w14:paraId="5DB929E2">
            <w:pPr>
              <w:spacing w:line="280" w:lineRule="exact"/>
              <w:ind w:firstLine="0" w:firstLineChars="0"/>
              <w:jc w:val="center"/>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（万元）</w:t>
            </w:r>
            <w:bookmarkEnd w:id="204"/>
          </w:p>
        </w:tc>
        <w:tc>
          <w:tcPr>
            <w:tcW w:w="1330" w:type="dxa"/>
            <w:tcBorders>
              <w:top w:val="single" w:color="auto" w:sz="4" w:space="0"/>
              <w:left w:val="single" w:color="auto" w:sz="4" w:space="0"/>
              <w:bottom w:val="single" w:color="auto" w:sz="4" w:space="0"/>
              <w:right w:val="single" w:color="auto" w:sz="4" w:space="0"/>
            </w:tcBorders>
            <w:noWrap w:val="0"/>
            <w:vAlign w:val="center"/>
          </w:tcPr>
          <w:p w14:paraId="29E6FD8B">
            <w:pPr>
              <w:spacing w:line="280" w:lineRule="exact"/>
              <w:ind w:firstLine="0" w:firstLineChars="0"/>
              <w:jc w:val="center"/>
              <w:rPr>
                <w:rFonts w:hint="eastAsia" w:ascii="仿宋_GB2312" w:hAnsi="仿宋_GB2312" w:eastAsia="仿宋_GB2312" w:cs="仿宋_GB2312"/>
                <w:bCs w:val="0"/>
                <w:color w:val="auto"/>
                <w:sz w:val="24"/>
                <w:szCs w:val="24"/>
              </w:rPr>
            </w:pPr>
            <w:bookmarkStart w:id="205" w:name="_Toc192353085"/>
            <w:r>
              <w:rPr>
                <w:rFonts w:hint="eastAsia" w:ascii="仿宋_GB2312" w:hAnsi="仿宋_GB2312" w:eastAsia="仿宋_GB2312" w:cs="仿宋_GB2312"/>
                <w:bCs w:val="0"/>
                <w:color w:val="auto"/>
                <w:sz w:val="24"/>
                <w:szCs w:val="24"/>
              </w:rPr>
              <w:t>签订日期</w:t>
            </w:r>
            <w:bookmarkEnd w:id="205"/>
          </w:p>
        </w:tc>
      </w:tr>
      <w:tr w14:paraId="7AA4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6792A485">
            <w:pPr>
              <w:spacing w:line="280" w:lineRule="exact"/>
              <w:ind w:firstLine="0" w:firstLineChars="0"/>
              <w:jc w:val="center"/>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1</w:t>
            </w:r>
          </w:p>
        </w:tc>
        <w:tc>
          <w:tcPr>
            <w:tcW w:w="2825" w:type="dxa"/>
            <w:tcBorders>
              <w:top w:val="single" w:color="auto" w:sz="4" w:space="0"/>
              <w:left w:val="single" w:color="auto" w:sz="4" w:space="0"/>
              <w:bottom w:val="single" w:color="auto" w:sz="4" w:space="0"/>
              <w:right w:val="single" w:color="auto" w:sz="4" w:space="0"/>
            </w:tcBorders>
            <w:noWrap w:val="0"/>
            <w:vAlign w:val="top"/>
          </w:tcPr>
          <w:p w14:paraId="48B4BC9E">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14:paraId="1D2238DC">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DF6837C">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9107BFD">
            <w:pPr>
              <w:spacing w:line="280" w:lineRule="exact"/>
              <w:ind w:firstLine="0" w:firstLineChars="0"/>
              <w:jc w:val="center"/>
              <w:rPr>
                <w:rFonts w:hint="eastAsia" w:ascii="仿宋_GB2312" w:hAnsi="仿宋_GB2312" w:eastAsia="仿宋_GB2312" w:cs="仿宋_GB2312"/>
                <w:bCs w:val="0"/>
                <w:color w:val="auto"/>
                <w:sz w:val="24"/>
                <w:szCs w:val="24"/>
              </w:rPr>
            </w:pPr>
          </w:p>
        </w:tc>
      </w:tr>
      <w:tr w14:paraId="224A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6A694EDD">
            <w:pPr>
              <w:spacing w:line="280" w:lineRule="exact"/>
              <w:ind w:firstLine="0" w:firstLineChars="0"/>
              <w:jc w:val="center"/>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2</w:t>
            </w:r>
          </w:p>
        </w:tc>
        <w:tc>
          <w:tcPr>
            <w:tcW w:w="2825" w:type="dxa"/>
            <w:tcBorders>
              <w:top w:val="single" w:color="auto" w:sz="4" w:space="0"/>
              <w:left w:val="single" w:color="auto" w:sz="4" w:space="0"/>
              <w:bottom w:val="single" w:color="auto" w:sz="4" w:space="0"/>
              <w:right w:val="single" w:color="auto" w:sz="4" w:space="0"/>
            </w:tcBorders>
            <w:noWrap w:val="0"/>
            <w:vAlign w:val="top"/>
          </w:tcPr>
          <w:p w14:paraId="3E87F733">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14:paraId="4785EF2D">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F88F4A5">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9779B4">
            <w:pPr>
              <w:spacing w:line="280" w:lineRule="exact"/>
              <w:ind w:firstLine="0" w:firstLineChars="0"/>
              <w:jc w:val="center"/>
              <w:rPr>
                <w:rFonts w:hint="eastAsia" w:ascii="仿宋_GB2312" w:hAnsi="仿宋_GB2312" w:eastAsia="仿宋_GB2312" w:cs="仿宋_GB2312"/>
                <w:bCs w:val="0"/>
                <w:color w:val="auto"/>
                <w:sz w:val="24"/>
                <w:szCs w:val="24"/>
              </w:rPr>
            </w:pPr>
          </w:p>
        </w:tc>
      </w:tr>
      <w:tr w14:paraId="7EF4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BDDA83F">
            <w:pPr>
              <w:spacing w:line="280" w:lineRule="exact"/>
              <w:ind w:firstLine="0" w:firstLineChars="0"/>
              <w:jc w:val="center"/>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w:t>
            </w:r>
          </w:p>
        </w:tc>
        <w:tc>
          <w:tcPr>
            <w:tcW w:w="2825" w:type="dxa"/>
            <w:tcBorders>
              <w:top w:val="single" w:color="auto" w:sz="4" w:space="0"/>
              <w:left w:val="single" w:color="auto" w:sz="4" w:space="0"/>
              <w:bottom w:val="single" w:color="auto" w:sz="4" w:space="0"/>
              <w:right w:val="single" w:color="auto" w:sz="4" w:space="0"/>
            </w:tcBorders>
            <w:noWrap w:val="0"/>
            <w:vAlign w:val="top"/>
          </w:tcPr>
          <w:p w14:paraId="3F71C134">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14:paraId="335077D0">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20FFF74">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3DD3FE8">
            <w:pPr>
              <w:spacing w:line="280" w:lineRule="exact"/>
              <w:ind w:firstLine="0" w:firstLineChars="0"/>
              <w:jc w:val="center"/>
              <w:rPr>
                <w:rFonts w:hint="eastAsia" w:ascii="仿宋_GB2312" w:hAnsi="仿宋_GB2312" w:eastAsia="仿宋_GB2312" w:cs="仿宋_GB2312"/>
                <w:bCs w:val="0"/>
                <w:color w:val="auto"/>
                <w:sz w:val="24"/>
                <w:szCs w:val="24"/>
              </w:rPr>
            </w:pPr>
          </w:p>
        </w:tc>
      </w:tr>
      <w:tr w14:paraId="78A7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44BE699">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75946C2B">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14:paraId="0E6D5FBE">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E727720">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41D79A">
            <w:pPr>
              <w:spacing w:line="280" w:lineRule="exact"/>
              <w:ind w:firstLine="0" w:firstLineChars="0"/>
              <w:jc w:val="center"/>
              <w:rPr>
                <w:rFonts w:hint="eastAsia" w:ascii="仿宋_GB2312" w:hAnsi="仿宋_GB2312" w:eastAsia="仿宋_GB2312" w:cs="仿宋_GB2312"/>
                <w:bCs w:val="0"/>
                <w:color w:val="auto"/>
                <w:sz w:val="24"/>
                <w:szCs w:val="24"/>
              </w:rPr>
            </w:pPr>
          </w:p>
        </w:tc>
      </w:tr>
      <w:tr w14:paraId="6D35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619306E">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825" w:type="dxa"/>
            <w:tcBorders>
              <w:top w:val="single" w:color="auto" w:sz="4" w:space="0"/>
              <w:left w:val="single" w:color="auto" w:sz="4" w:space="0"/>
              <w:bottom w:val="single" w:color="auto" w:sz="4" w:space="0"/>
              <w:right w:val="single" w:color="auto" w:sz="4" w:space="0"/>
            </w:tcBorders>
            <w:noWrap w:val="0"/>
            <w:vAlign w:val="center"/>
          </w:tcPr>
          <w:p w14:paraId="7590A1BC">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14:paraId="57ED799C">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3C0D632">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1FEEE74">
            <w:pPr>
              <w:spacing w:line="280" w:lineRule="exact"/>
              <w:ind w:firstLine="0" w:firstLineChars="0"/>
              <w:jc w:val="center"/>
              <w:rPr>
                <w:rFonts w:hint="eastAsia" w:ascii="仿宋_GB2312" w:hAnsi="仿宋_GB2312" w:eastAsia="仿宋_GB2312" w:cs="仿宋_GB2312"/>
                <w:bCs w:val="0"/>
                <w:color w:val="auto"/>
                <w:sz w:val="24"/>
                <w:szCs w:val="24"/>
              </w:rPr>
            </w:pPr>
          </w:p>
        </w:tc>
      </w:tr>
      <w:tr w14:paraId="4AF4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71FAB3F3">
            <w:pPr>
              <w:spacing w:line="280" w:lineRule="exact"/>
              <w:ind w:firstLine="0" w:firstLineChars="0"/>
              <w:jc w:val="center"/>
              <w:rPr>
                <w:rFonts w:hint="eastAsia" w:ascii="仿宋_GB2312" w:hAnsi="仿宋_GB2312" w:eastAsia="仿宋_GB2312" w:cs="仿宋_GB2312"/>
                <w:bCs w:val="0"/>
                <w:color w:val="auto"/>
                <w:sz w:val="24"/>
                <w:szCs w:val="24"/>
              </w:rPr>
            </w:pPr>
            <w:r>
              <w:rPr>
                <w:rFonts w:hint="eastAsia" w:ascii="仿宋_GB2312" w:hAnsi="仿宋_GB2312" w:eastAsia="仿宋_GB2312" w:cs="仿宋_GB2312"/>
                <w:bCs w:val="0"/>
                <w:color w:val="auto"/>
                <w:sz w:val="24"/>
                <w:szCs w:val="24"/>
              </w:rPr>
              <w:t>……</w:t>
            </w:r>
          </w:p>
        </w:tc>
        <w:tc>
          <w:tcPr>
            <w:tcW w:w="2825" w:type="dxa"/>
            <w:tcBorders>
              <w:top w:val="single" w:color="auto" w:sz="4" w:space="0"/>
              <w:left w:val="single" w:color="auto" w:sz="4" w:space="0"/>
              <w:bottom w:val="single" w:color="auto" w:sz="4" w:space="0"/>
              <w:right w:val="single" w:color="auto" w:sz="4" w:space="0"/>
            </w:tcBorders>
            <w:noWrap w:val="0"/>
            <w:vAlign w:val="center"/>
          </w:tcPr>
          <w:p w14:paraId="50D0D370">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2047" w:type="dxa"/>
            <w:tcBorders>
              <w:top w:val="single" w:color="auto" w:sz="4" w:space="0"/>
              <w:left w:val="single" w:color="auto" w:sz="4" w:space="0"/>
              <w:bottom w:val="single" w:color="auto" w:sz="4" w:space="0"/>
              <w:right w:val="single" w:color="auto" w:sz="4" w:space="0"/>
            </w:tcBorders>
            <w:noWrap w:val="0"/>
            <w:vAlign w:val="center"/>
          </w:tcPr>
          <w:p w14:paraId="51F3DD4A">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8D213D4">
            <w:pPr>
              <w:spacing w:line="280" w:lineRule="exact"/>
              <w:ind w:firstLine="0" w:firstLineChars="0"/>
              <w:jc w:val="center"/>
              <w:rPr>
                <w:rFonts w:hint="eastAsia" w:ascii="仿宋_GB2312" w:hAnsi="仿宋_GB2312" w:eastAsia="仿宋_GB2312" w:cs="仿宋_GB2312"/>
                <w:bCs w:val="0"/>
                <w:color w:val="auto"/>
                <w:sz w:val="24"/>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9B6608D">
            <w:pPr>
              <w:spacing w:line="280" w:lineRule="exact"/>
              <w:ind w:firstLine="0" w:firstLineChars="0"/>
              <w:jc w:val="center"/>
              <w:rPr>
                <w:rFonts w:hint="eastAsia" w:ascii="仿宋_GB2312" w:hAnsi="仿宋_GB2312" w:eastAsia="仿宋_GB2312" w:cs="仿宋_GB2312"/>
                <w:bCs w:val="0"/>
                <w:color w:val="auto"/>
                <w:sz w:val="24"/>
                <w:szCs w:val="24"/>
              </w:rPr>
            </w:pPr>
          </w:p>
        </w:tc>
      </w:tr>
    </w:tbl>
    <w:p w14:paraId="20AEFA9A">
      <w:pPr>
        <w:adjustRightInd w:val="0"/>
        <w:snapToGrid w:val="0"/>
        <w:spacing w:line="360" w:lineRule="auto"/>
        <w:ind w:firstLine="562" w:firstLineChars="200"/>
        <w:rPr>
          <w:rFonts w:hint="eastAsia" w:ascii="仿宋_GB2312" w:hAnsi="仿宋_GB2312" w:eastAsia="仿宋_GB2312" w:cs="仿宋_GB2312"/>
          <w:b/>
          <w:color w:val="auto"/>
          <w:sz w:val="28"/>
          <w:szCs w:val="28"/>
        </w:rPr>
      </w:pPr>
    </w:p>
    <w:p w14:paraId="3509F972">
      <w:pPr>
        <w:adjustRightInd w:val="0"/>
        <w:snapToGrid w:val="0"/>
        <w:spacing w:line="576" w:lineRule="exact"/>
        <w:ind w:firstLine="562"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说明：附相关合同关键页或成交通知书等复印件，复印件必须清晰，因复印件不清晰而造成的不利后果由供应商自行承担。</w:t>
      </w:r>
    </w:p>
    <w:p w14:paraId="15D1E5C9">
      <w:pPr>
        <w:pStyle w:val="5"/>
        <w:ind w:firstLine="560"/>
        <w:rPr>
          <w:rFonts w:hint="eastAsia" w:ascii="仿宋_GB2312" w:hAnsi="仿宋_GB2312" w:eastAsia="仿宋_GB2312" w:cs="仿宋_GB2312"/>
          <w:b/>
          <w:bCs/>
          <w:color w:val="auto"/>
          <w:sz w:val="28"/>
          <w:szCs w:val="28"/>
        </w:rPr>
      </w:pPr>
    </w:p>
    <w:p w14:paraId="1D16FD6D">
      <w:pPr>
        <w:adjustRightInd w:val="0"/>
        <w:spacing w:line="700" w:lineRule="exact"/>
        <w:ind w:firstLine="560" w:firstLineChars="200"/>
        <w:rPr>
          <w:rFonts w:hint="eastAsia" w:ascii="仿宋_GB2312" w:hAnsi="仿宋_GB2312" w:eastAsia="仿宋_GB2312" w:cs="仿宋_GB2312"/>
          <w:color w:val="auto"/>
          <w:sz w:val="28"/>
          <w:szCs w:val="28"/>
        </w:rPr>
      </w:pPr>
    </w:p>
    <w:p w14:paraId="4D46C918">
      <w:pPr>
        <w:widowControl w:val="0"/>
        <w:adjustRightInd/>
        <w:spacing w:line="576"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1E2D8C25">
      <w:pPr>
        <w:widowControl w:val="0"/>
        <w:adjustRightInd/>
        <w:spacing w:line="576" w:lineRule="exact"/>
        <w:ind w:firstLine="560" w:firstLineChars="200"/>
        <w:jc w:val="both"/>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color w:val="auto"/>
          <w:sz w:val="28"/>
          <w:szCs w:val="28"/>
        </w:rPr>
        <w:t>法定代表人或授权代表（签字）</w:t>
      </w:r>
      <w:r>
        <w:rPr>
          <w:rFonts w:hint="eastAsia" w:ascii="仿宋_GB2312" w:hAnsi="仿宋_GB2312" w:eastAsia="仿宋_GB2312" w:cs="仿宋_GB2312"/>
          <w:bCs w:val="0"/>
          <w:color w:val="auto"/>
          <w:sz w:val="28"/>
          <w:szCs w:val="28"/>
        </w:rPr>
        <w:t>：</w:t>
      </w:r>
    </w:p>
    <w:p w14:paraId="3046E2C7">
      <w:pPr>
        <w:widowControl w:val="0"/>
        <w:spacing w:line="576" w:lineRule="exact"/>
        <w:ind w:firstLine="560" w:firstLineChars="200"/>
        <w:jc w:val="both"/>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日 期：</w:t>
      </w:r>
      <w:bookmarkStart w:id="206" w:name="_Toc5334"/>
      <w:bookmarkStart w:id="207" w:name="_Toc3045"/>
    </w:p>
    <w:p w14:paraId="22490499">
      <w:pPr>
        <w:widowControl w:val="0"/>
        <w:spacing w:line="576" w:lineRule="exact"/>
        <w:ind w:firstLine="560" w:firstLineChars="200"/>
        <w:jc w:val="both"/>
        <w:rPr>
          <w:rFonts w:hint="eastAsia" w:ascii="仿宋_GB2312" w:hAnsi="仿宋_GB2312" w:eastAsia="仿宋_GB2312" w:cs="仿宋_GB2312"/>
          <w:bCs w:val="0"/>
          <w:color w:val="auto"/>
          <w:sz w:val="28"/>
          <w:szCs w:val="28"/>
        </w:rPr>
      </w:pPr>
    </w:p>
    <w:p w14:paraId="44F39223">
      <w:pPr>
        <w:spacing w:line="700" w:lineRule="exact"/>
        <w:ind w:firstLine="560" w:firstLineChars="200"/>
        <w:rPr>
          <w:rFonts w:hint="eastAsia" w:ascii="仿宋_GB2312" w:hAnsi="仿宋_GB2312" w:eastAsia="仿宋_GB2312" w:cs="仿宋_GB2312"/>
          <w:bCs/>
          <w:color w:val="auto"/>
          <w:sz w:val="28"/>
          <w:szCs w:val="28"/>
        </w:rPr>
      </w:pPr>
    </w:p>
    <w:p w14:paraId="1F1ECFC3">
      <w:pPr>
        <w:spacing w:line="700" w:lineRule="exact"/>
        <w:ind w:firstLine="560" w:firstLineChars="200"/>
        <w:rPr>
          <w:rFonts w:hint="eastAsia" w:ascii="仿宋_GB2312" w:hAnsi="仿宋_GB2312" w:eastAsia="仿宋_GB2312" w:cs="仿宋_GB2312"/>
          <w:bCs/>
          <w:color w:val="auto"/>
          <w:sz w:val="28"/>
          <w:szCs w:val="28"/>
        </w:rPr>
      </w:pPr>
    </w:p>
    <w:p w14:paraId="4C343C2E">
      <w:pPr>
        <w:spacing w:line="700" w:lineRule="exact"/>
        <w:ind w:firstLine="560" w:firstLineChars="200"/>
        <w:rPr>
          <w:rFonts w:hint="eastAsia" w:ascii="仿宋_GB2312" w:hAnsi="仿宋_GB2312" w:eastAsia="仿宋_GB2312" w:cs="仿宋_GB2312"/>
          <w:bCs/>
          <w:color w:val="auto"/>
          <w:sz w:val="28"/>
          <w:szCs w:val="28"/>
        </w:rPr>
      </w:pPr>
    </w:p>
    <w:p w14:paraId="4F958AF6">
      <w:pPr>
        <w:spacing w:line="700" w:lineRule="exact"/>
        <w:ind w:firstLine="600" w:firstLineChars="200"/>
        <w:jc w:val="center"/>
        <w:outlineLvl w:val="1"/>
        <w:rPr>
          <w:rFonts w:hint="eastAsia" w:ascii="黑体" w:hAnsi="黑体"/>
          <w:color w:val="auto"/>
          <w:sz w:val="30"/>
          <w:szCs w:val="30"/>
        </w:rPr>
      </w:pPr>
      <w:r>
        <w:rPr>
          <w:rFonts w:hint="eastAsia" w:ascii="黑体" w:hAnsi="黑体" w:eastAsia="黑体" w:cs="黑体"/>
          <w:b w:val="0"/>
          <w:bCs w:val="0"/>
          <w:iCs w:val="0"/>
          <w:color w:val="auto"/>
          <w:sz w:val="30"/>
          <w:szCs w:val="30"/>
        </w:rPr>
        <w:t>十、其他材料</w:t>
      </w:r>
      <w:bookmarkEnd w:id="191"/>
      <w:bookmarkEnd w:id="192"/>
      <w:bookmarkEnd w:id="199"/>
    </w:p>
    <w:bookmarkEnd w:id="206"/>
    <w:bookmarkEnd w:id="207"/>
    <w:p w14:paraId="582A3879">
      <w:pPr>
        <w:pStyle w:val="5"/>
        <w:ind w:firstLine="560"/>
        <w:rPr>
          <w:rFonts w:ascii="仿宋_GB2312" w:hAnsi="仿宋_GB2312" w:eastAsia="仿宋_GB2312" w:cs="仿宋_GB2312"/>
          <w:b/>
          <w:color w:val="auto"/>
          <w:kern w:val="0"/>
          <w:sz w:val="28"/>
          <w:szCs w:val="28"/>
        </w:rPr>
      </w:pPr>
    </w:p>
    <w:p w14:paraId="1035A6E1">
      <w:pPr>
        <w:pStyle w:val="5"/>
        <w:ind w:firstLine="560"/>
        <w:rPr>
          <w:rFonts w:ascii="仿宋_GB2312" w:hAnsi="仿宋_GB2312" w:eastAsia="仿宋_GB2312" w:cs="仿宋_GB2312"/>
          <w:b/>
          <w:color w:val="auto"/>
          <w:kern w:val="0"/>
          <w:sz w:val="28"/>
          <w:szCs w:val="28"/>
        </w:rPr>
      </w:pPr>
    </w:p>
    <w:p w14:paraId="4D51854B">
      <w:pPr>
        <w:pStyle w:val="5"/>
        <w:ind w:firstLine="560"/>
        <w:rPr>
          <w:rFonts w:hint="eastAsia" w:ascii="仿宋_GB2312" w:hAnsi="仿宋_GB2312" w:eastAsia="仿宋_GB2312" w:cs="仿宋_GB2312"/>
          <w:b/>
          <w:color w:val="auto"/>
          <w:kern w:val="0"/>
          <w:sz w:val="28"/>
          <w:szCs w:val="28"/>
        </w:rPr>
      </w:pPr>
      <w:r>
        <w:rPr>
          <w:rFonts w:ascii="仿宋_GB2312" w:hAnsi="仿宋_GB2312" w:eastAsia="仿宋_GB2312" w:cs="仿宋_GB2312"/>
          <w:b/>
          <w:color w:val="auto"/>
          <w:kern w:val="0"/>
          <w:sz w:val="28"/>
          <w:szCs w:val="28"/>
        </w:rPr>
        <w:t>供应商根据认为需提供的其他说明材料，格式自定</w:t>
      </w:r>
    </w:p>
    <w:p w14:paraId="1F22339B">
      <w:pPr>
        <w:pStyle w:val="5"/>
        <w:ind w:firstLine="560"/>
        <w:rPr>
          <w:rFonts w:hint="eastAsia" w:ascii="仿宋_GB2312" w:hAnsi="仿宋_GB2312" w:eastAsia="仿宋_GB2312" w:cs="仿宋_GB2312"/>
          <w:b/>
          <w:color w:val="auto"/>
          <w:kern w:val="0"/>
          <w:sz w:val="28"/>
          <w:szCs w:val="28"/>
        </w:rPr>
      </w:pPr>
    </w:p>
    <w:p w14:paraId="29093E87">
      <w:pPr>
        <w:pStyle w:val="5"/>
        <w:ind w:firstLine="560"/>
        <w:rPr>
          <w:rFonts w:hint="eastAsia" w:ascii="仿宋_GB2312" w:hAnsi="仿宋_GB2312" w:eastAsia="仿宋_GB2312" w:cs="仿宋_GB2312"/>
          <w:b/>
          <w:color w:val="auto"/>
          <w:kern w:val="0"/>
          <w:sz w:val="28"/>
          <w:szCs w:val="28"/>
        </w:rPr>
      </w:pPr>
    </w:p>
    <w:p w14:paraId="0DDC4894">
      <w:pPr>
        <w:pStyle w:val="5"/>
        <w:ind w:firstLine="560"/>
        <w:rPr>
          <w:rFonts w:hint="eastAsia" w:ascii="仿宋_GB2312" w:hAnsi="仿宋_GB2312" w:eastAsia="仿宋_GB2312" w:cs="仿宋_GB2312"/>
          <w:b/>
          <w:color w:val="auto"/>
          <w:kern w:val="0"/>
          <w:sz w:val="28"/>
          <w:szCs w:val="28"/>
        </w:rPr>
      </w:pPr>
    </w:p>
    <w:p w14:paraId="16783A95">
      <w:pPr>
        <w:pStyle w:val="5"/>
        <w:ind w:firstLine="560"/>
        <w:rPr>
          <w:rFonts w:hint="eastAsia" w:ascii="仿宋_GB2312" w:hAnsi="仿宋_GB2312" w:eastAsia="仿宋_GB2312" w:cs="仿宋_GB2312"/>
          <w:b/>
          <w:color w:val="auto"/>
          <w:kern w:val="0"/>
          <w:sz w:val="28"/>
          <w:szCs w:val="28"/>
        </w:rPr>
      </w:pPr>
    </w:p>
    <w:p w14:paraId="25BFECC9">
      <w:pPr>
        <w:pStyle w:val="5"/>
        <w:ind w:firstLine="560"/>
        <w:rPr>
          <w:rFonts w:hint="eastAsia" w:ascii="仿宋_GB2312" w:hAnsi="仿宋_GB2312" w:eastAsia="仿宋_GB2312" w:cs="仿宋_GB2312"/>
          <w:b/>
          <w:color w:val="auto"/>
          <w:kern w:val="0"/>
          <w:sz w:val="28"/>
          <w:szCs w:val="28"/>
        </w:rPr>
      </w:pPr>
    </w:p>
    <w:p w14:paraId="15032444">
      <w:pPr>
        <w:pStyle w:val="5"/>
        <w:ind w:firstLine="560"/>
        <w:rPr>
          <w:rFonts w:hint="eastAsia" w:ascii="仿宋_GB2312" w:hAnsi="仿宋_GB2312" w:eastAsia="仿宋_GB2312" w:cs="仿宋_GB2312"/>
          <w:b/>
          <w:color w:val="auto"/>
          <w:kern w:val="0"/>
          <w:sz w:val="28"/>
          <w:szCs w:val="28"/>
        </w:rPr>
      </w:pPr>
    </w:p>
    <w:p w14:paraId="4441C95A">
      <w:pPr>
        <w:pStyle w:val="5"/>
        <w:ind w:firstLine="560"/>
        <w:rPr>
          <w:rFonts w:hint="eastAsia" w:ascii="仿宋_GB2312" w:hAnsi="仿宋_GB2312" w:eastAsia="仿宋_GB2312" w:cs="仿宋_GB2312"/>
          <w:b/>
          <w:color w:val="auto"/>
          <w:kern w:val="0"/>
          <w:sz w:val="28"/>
          <w:szCs w:val="28"/>
        </w:rPr>
      </w:pPr>
    </w:p>
    <w:p w14:paraId="5C9E9B30">
      <w:pPr>
        <w:pStyle w:val="5"/>
        <w:ind w:firstLine="560"/>
        <w:rPr>
          <w:rFonts w:hint="eastAsia" w:ascii="仿宋_GB2312" w:hAnsi="仿宋_GB2312" w:eastAsia="仿宋_GB2312" w:cs="仿宋_GB2312"/>
          <w:b/>
          <w:color w:val="auto"/>
          <w:kern w:val="0"/>
          <w:sz w:val="28"/>
          <w:szCs w:val="28"/>
        </w:rPr>
      </w:pPr>
    </w:p>
    <w:p w14:paraId="0C6C2FD3">
      <w:pPr>
        <w:pStyle w:val="5"/>
        <w:ind w:firstLine="560"/>
        <w:rPr>
          <w:rFonts w:hint="eastAsia" w:ascii="仿宋_GB2312" w:hAnsi="仿宋_GB2312" w:eastAsia="仿宋_GB2312" w:cs="仿宋_GB2312"/>
          <w:b/>
          <w:color w:val="auto"/>
          <w:kern w:val="0"/>
          <w:sz w:val="28"/>
          <w:szCs w:val="28"/>
        </w:rPr>
      </w:pPr>
    </w:p>
    <w:p w14:paraId="57536D97">
      <w:pPr>
        <w:pStyle w:val="5"/>
        <w:ind w:firstLine="560"/>
        <w:rPr>
          <w:rFonts w:hint="eastAsia" w:ascii="仿宋_GB2312" w:hAnsi="仿宋_GB2312" w:eastAsia="仿宋_GB2312" w:cs="仿宋_GB2312"/>
          <w:b/>
          <w:color w:val="auto"/>
          <w:kern w:val="0"/>
          <w:sz w:val="28"/>
          <w:szCs w:val="28"/>
        </w:rPr>
      </w:pPr>
    </w:p>
    <w:p w14:paraId="452E572F">
      <w:pPr>
        <w:pStyle w:val="5"/>
        <w:ind w:firstLine="560"/>
        <w:rPr>
          <w:rFonts w:hint="eastAsia" w:ascii="仿宋_GB2312" w:hAnsi="仿宋_GB2312" w:eastAsia="仿宋_GB2312" w:cs="仿宋_GB2312"/>
          <w:b/>
          <w:color w:val="auto"/>
          <w:kern w:val="0"/>
          <w:sz w:val="28"/>
          <w:szCs w:val="28"/>
        </w:rPr>
      </w:pPr>
    </w:p>
    <w:p w14:paraId="02274461">
      <w:pPr>
        <w:pStyle w:val="5"/>
        <w:ind w:firstLine="0" w:firstLineChars="0"/>
        <w:rPr>
          <w:rFonts w:hint="eastAsia" w:ascii="仿宋_GB2312" w:hAnsi="仿宋_GB2312" w:eastAsia="仿宋_GB2312" w:cs="仿宋_GB2312"/>
          <w:b/>
          <w:color w:val="auto"/>
          <w:kern w:val="0"/>
          <w:sz w:val="28"/>
          <w:szCs w:val="28"/>
        </w:rPr>
      </w:pPr>
    </w:p>
    <w:p w14:paraId="3F609680">
      <w:pPr>
        <w:spacing w:line="576" w:lineRule="exact"/>
        <w:rPr>
          <w:rFonts w:hint="eastAsia" w:ascii="仿宋_GB2312" w:hAnsi="仿宋_GB2312" w:eastAsia="仿宋_GB2312" w:cs="仿宋_GB2312"/>
          <w:bCs/>
          <w:color w:val="auto"/>
          <w:kern w:val="0"/>
          <w:sz w:val="28"/>
          <w:szCs w:val="28"/>
        </w:rPr>
      </w:pPr>
      <w:r>
        <w:rPr>
          <w:rFonts w:ascii="仿宋_GB2312" w:hAnsi="仿宋_GB2312" w:eastAsia="仿宋_GB2312" w:cs="仿宋_GB2312"/>
          <w:bCs/>
          <w:color w:val="auto"/>
          <w:kern w:val="0"/>
          <w:sz w:val="28"/>
          <w:szCs w:val="28"/>
        </w:rPr>
        <w:t>供应商名称（盖章）：</w:t>
      </w:r>
      <w:r>
        <w:rPr>
          <w:rFonts w:ascii="仿宋_GB2312" w:hAnsi="仿宋_GB2312" w:eastAsia="仿宋_GB2312" w:cs="仿宋_GB2312"/>
          <w:bCs/>
          <w:color w:val="auto"/>
          <w:kern w:val="0"/>
          <w:sz w:val="28"/>
          <w:szCs w:val="28"/>
          <w:u w:val="single"/>
        </w:rPr>
        <w:t xml:space="preserve">         </w:t>
      </w:r>
    </w:p>
    <w:p w14:paraId="2CE8F5C9">
      <w:pPr>
        <w:spacing w:line="576" w:lineRule="exact"/>
        <w:rPr>
          <w:rFonts w:hint="eastAsia" w:ascii="仿宋_GB2312" w:hAnsi="仿宋_GB2312" w:eastAsia="仿宋_GB2312" w:cs="仿宋_GB2312"/>
          <w:bCs/>
          <w:color w:val="auto"/>
          <w:kern w:val="0"/>
          <w:sz w:val="28"/>
          <w:szCs w:val="28"/>
        </w:rPr>
      </w:pPr>
      <w:r>
        <w:rPr>
          <w:rFonts w:ascii="仿宋_GB2312" w:hAnsi="仿宋_GB2312" w:eastAsia="仿宋_GB2312" w:cs="仿宋_GB2312"/>
          <w:bCs/>
          <w:color w:val="auto"/>
          <w:kern w:val="0"/>
          <w:sz w:val="28"/>
          <w:szCs w:val="28"/>
        </w:rPr>
        <w:t>法定</w:t>
      </w:r>
      <w:r>
        <w:rPr>
          <w:rFonts w:hint="eastAsia" w:ascii="仿宋_GB2312" w:hAnsi="仿宋_GB2312" w:eastAsia="仿宋_GB2312" w:cs="仿宋_GB2312"/>
          <w:bCs w:val="0"/>
          <w:color w:val="auto"/>
          <w:kern w:val="0"/>
          <w:sz w:val="28"/>
          <w:szCs w:val="28"/>
        </w:rPr>
        <w:t>代表人</w:t>
      </w:r>
      <w:r>
        <w:rPr>
          <w:rFonts w:ascii="仿宋_GB2312" w:hAnsi="仿宋_GB2312" w:eastAsia="仿宋_GB2312" w:cs="仿宋_GB2312"/>
          <w:bCs/>
          <w:color w:val="auto"/>
          <w:kern w:val="0"/>
          <w:sz w:val="28"/>
          <w:szCs w:val="28"/>
        </w:rPr>
        <w:t>或授权代表（签字）：</w:t>
      </w:r>
    </w:p>
    <w:p w14:paraId="10AFA688">
      <w:pPr>
        <w:spacing w:line="576" w:lineRule="exact"/>
        <w:rPr>
          <w:rFonts w:hint="eastAsia" w:ascii="仿宋_GB2312" w:hAnsi="仿宋_GB2312" w:eastAsia="仿宋_GB2312" w:cs="仿宋_GB2312"/>
          <w:b/>
          <w:color w:val="auto"/>
          <w:kern w:val="0"/>
          <w:sz w:val="28"/>
          <w:szCs w:val="28"/>
        </w:rPr>
        <w:sectPr>
          <w:pgSz w:w="11905" w:h="16838"/>
          <w:pgMar w:top="1984" w:right="1871" w:bottom="1984" w:left="1871" w:header="851" w:footer="850" w:gutter="0"/>
          <w:pgNumType w:fmt="chineseCounting"/>
          <w:cols w:space="720" w:num="1"/>
          <w:docGrid w:linePitch="312" w:charSpace="0"/>
        </w:sectPr>
      </w:pPr>
      <w:r>
        <w:rPr>
          <w:rFonts w:hint="eastAsia" w:ascii="仿宋_GB2312" w:hAnsi="仿宋_GB2312" w:eastAsia="仿宋_GB2312" w:cs="仿宋_GB2312"/>
          <w:bCs w:val="0"/>
          <w:color w:val="auto"/>
          <w:kern w:val="0"/>
          <w:sz w:val="28"/>
          <w:szCs w:val="28"/>
        </w:rPr>
        <w:t xml:space="preserve">日              </w:t>
      </w:r>
      <w:r>
        <w:rPr>
          <w:rFonts w:ascii="仿宋_GB2312" w:hAnsi="仿宋_GB2312" w:eastAsia="仿宋_GB2312" w:cs="仿宋_GB2312"/>
          <w:bCs/>
          <w:color w:val="auto"/>
          <w:kern w:val="0"/>
          <w:sz w:val="28"/>
          <w:szCs w:val="28"/>
        </w:rPr>
        <w:t>期：</w:t>
      </w:r>
      <w:r>
        <w:rPr>
          <w:rFonts w:hint="eastAsia" w:ascii="仿宋_GB2312" w:hAnsi="仿宋_GB2312" w:eastAsia="仿宋_GB2312" w:cs="仿宋_GB2312"/>
          <w:bCs/>
          <w:color w:val="auto"/>
          <w:kern w:val="0"/>
          <w:sz w:val="28"/>
          <w:szCs w:val="28"/>
          <w:u w:val="single"/>
        </w:rPr>
        <w:t xml:space="preserve">         </w:t>
      </w:r>
    </w:p>
    <w:p w14:paraId="6772966D">
      <w:pPr>
        <w:keepNext w:val="0"/>
        <w:keepLines w:val="0"/>
        <w:widowControl w:val="0"/>
        <w:numPr>
          <w:ilvl w:val="0"/>
          <w:numId w:val="0"/>
        </w:numPr>
        <w:spacing w:before="0" w:after="0" w:line="600" w:lineRule="exact"/>
        <w:ind w:firstLine="0" w:firstLineChars="0"/>
        <w:jc w:val="center"/>
        <w:outlineLvl w:val="0"/>
        <w:rPr>
          <w:rFonts w:hint="eastAsia" w:ascii="方正小标宋简体" w:hAnsi="方正小标宋简体" w:eastAsia="方正小标宋简体" w:cs="方正小标宋简体"/>
          <w:color w:val="000000"/>
          <w:kern w:val="2"/>
          <w:sz w:val="44"/>
          <w:szCs w:val="44"/>
          <w:highlight w:val="none"/>
          <w:lang w:bidi="ar"/>
        </w:rPr>
      </w:pPr>
      <w:bookmarkStart w:id="208" w:name="_Toc20479"/>
      <w:r>
        <w:rPr>
          <w:rFonts w:hint="eastAsia" w:ascii="方正小标宋简体" w:hAnsi="方正小标宋简体" w:eastAsia="方正小标宋简体" w:cs="方正小标宋简体"/>
          <w:color w:val="000000"/>
          <w:kern w:val="2"/>
          <w:sz w:val="44"/>
          <w:szCs w:val="44"/>
          <w:lang w:val="en-US" w:eastAsia="zh-CN" w:bidi="ar"/>
        </w:rPr>
        <w:t xml:space="preserve">第五章 </w:t>
      </w:r>
      <w:r>
        <w:rPr>
          <w:rStyle w:val="25"/>
          <w:rFonts w:hint="eastAsia" w:ascii="方正小标宋简体" w:hAnsi="方正小标宋简体" w:eastAsia="方正小标宋简体" w:cs="方正小标宋简体"/>
          <w:color w:val="000000"/>
          <w:kern w:val="2"/>
          <w:sz w:val="44"/>
          <w:szCs w:val="44"/>
          <w:highlight w:val="none"/>
          <w:lang w:bidi="ar"/>
        </w:rPr>
        <w:t>谈判程序</w:t>
      </w:r>
      <w:bookmarkEnd w:id="208"/>
    </w:p>
    <w:p w14:paraId="5A2CCE7A">
      <w:pPr>
        <w:keepNext w:val="0"/>
        <w:keepLines w:val="0"/>
        <w:widowControl w:val="0"/>
        <w:numPr>
          <w:ilvl w:val="0"/>
          <w:numId w:val="0"/>
        </w:numPr>
        <w:spacing w:before="0" w:after="0" w:line="600" w:lineRule="exact"/>
        <w:ind w:firstLine="0" w:firstLineChars="0"/>
        <w:jc w:val="both"/>
        <w:rPr>
          <w:rStyle w:val="25"/>
          <w:rFonts w:hint="eastAsia" w:ascii="方正小标宋简体" w:hAnsi="方正小标宋简体" w:eastAsia="方正小标宋简体" w:cs="方正小标宋简体"/>
          <w:color w:val="000000"/>
          <w:kern w:val="2"/>
          <w:sz w:val="44"/>
          <w:szCs w:val="44"/>
          <w:highlight w:val="none"/>
          <w:lang w:bidi="ar"/>
        </w:rPr>
      </w:pPr>
    </w:p>
    <w:p w14:paraId="0D969D1C">
      <w:pPr>
        <w:numPr>
          <w:ilvl w:val="0"/>
          <w:numId w:val="0"/>
        </w:numPr>
        <w:spacing w:before="0" w:beforeLines="0" w:after="0" w:afterLines="0" w:line="576" w:lineRule="exact"/>
        <w:ind w:firstLine="640"/>
        <w:jc w:val="both"/>
        <w:outlineLvl w:val="1"/>
        <w:rPr>
          <w:rFonts w:hint="eastAsia" w:ascii="黑体" w:hAnsi="黑体" w:eastAsia="黑体" w:cs="黑体"/>
          <w:bCs w:val="0"/>
          <w:color w:val="auto"/>
          <w:sz w:val="30"/>
          <w:szCs w:val="30"/>
        </w:rPr>
      </w:pPr>
      <w:r>
        <w:rPr>
          <w:rFonts w:hint="eastAsia" w:ascii="黑体" w:hAnsi="黑体" w:eastAsia="黑体" w:cs="黑体"/>
          <w:bCs w:val="0"/>
          <w:color w:val="auto"/>
          <w:sz w:val="30"/>
          <w:szCs w:val="30"/>
        </w:rPr>
        <w:t>一、谈判小组及专家组成</w:t>
      </w:r>
    </w:p>
    <w:p w14:paraId="1E7972D9">
      <w:pPr>
        <w:widowControl w:val="0"/>
        <w:tabs>
          <w:tab w:val="left" w:pos="0"/>
          <w:tab w:val="left" w:pos="1080"/>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谈判小组由采购人</w:t>
      </w:r>
      <w:r>
        <w:rPr>
          <w:rFonts w:hint="default" w:ascii="仿宋_GB2312" w:hAnsi="仿宋_GB2312" w:eastAsia="仿宋_GB2312" w:cs="仿宋_GB2312"/>
          <w:bCs/>
          <w:color w:val="auto"/>
          <w:sz w:val="28"/>
          <w:szCs w:val="28"/>
          <w:lang w:val="en-US" w:eastAsia="zh-CN"/>
        </w:rPr>
        <w:t>自行组建</w:t>
      </w:r>
      <w:r>
        <w:rPr>
          <w:rFonts w:hint="default" w:ascii="仿宋_GB2312" w:hAnsi="仿宋_GB2312" w:eastAsia="仿宋_GB2312" w:cs="仿宋_GB2312"/>
          <w:bCs/>
          <w:color w:val="auto"/>
          <w:sz w:val="28"/>
          <w:szCs w:val="28"/>
          <w:lang w:eastAsia="zh-CN"/>
        </w:rPr>
        <w:t>，</w:t>
      </w:r>
      <w:r>
        <w:rPr>
          <w:rFonts w:hint="default" w:ascii="仿宋_GB2312" w:hAnsi="仿宋_GB2312" w:eastAsia="仿宋_GB2312" w:cs="仿宋_GB2312"/>
          <w:bCs/>
          <w:color w:val="auto"/>
          <w:sz w:val="28"/>
          <w:szCs w:val="28"/>
          <w:lang w:val="en-US" w:eastAsia="zh-CN"/>
        </w:rPr>
        <w:t>由</w:t>
      </w:r>
      <w:r>
        <w:rPr>
          <w:rFonts w:hint="default" w:ascii="仿宋_GB2312" w:hAnsi="仿宋_GB2312" w:eastAsia="仿宋_GB2312" w:cs="仿宋_GB2312"/>
          <w:bCs/>
          <w:color w:val="auto"/>
          <w:sz w:val="28"/>
          <w:szCs w:val="28"/>
          <w:highlight w:val="none"/>
          <w:lang w:val="en-US" w:eastAsia="zh-CN"/>
        </w:rPr>
        <w:t>五</w:t>
      </w:r>
      <w:r>
        <w:rPr>
          <w:rFonts w:hint="default" w:ascii="仿宋_GB2312" w:hAnsi="仿宋_GB2312" w:eastAsia="仿宋_GB2312" w:cs="仿宋_GB2312"/>
          <w:bCs/>
          <w:color w:val="auto"/>
          <w:sz w:val="28"/>
          <w:szCs w:val="28"/>
          <w:highlight w:val="none"/>
        </w:rPr>
        <w:t>人以上</w:t>
      </w:r>
      <w:r>
        <w:rPr>
          <w:rFonts w:hint="eastAsia" w:ascii="仿宋_GB2312" w:hAnsi="仿宋_GB2312" w:eastAsia="仿宋_GB2312" w:cs="仿宋_GB2312"/>
          <w:bCs/>
          <w:color w:val="auto"/>
          <w:sz w:val="28"/>
          <w:szCs w:val="28"/>
        </w:rPr>
        <w:t>的单数组成，负责本次采购项目的谈判和评审工作。</w:t>
      </w:r>
    </w:p>
    <w:p w14:paraId="44EA8F5D">
      <w:pPr>
        <w:numPr>
          <w:ilvl w:val="0"/>
          <w:numId w:val="0"/>
        </w:numPr>
        <w:spacing w:before="0" w:beforeLines="0" w:after="0" w:afterLines="0" w:line="576" w:lineRule="exact"/>
        <w:ind w:firstLine="640"/>
        <w:jc w:val="both"/>
        <w:outlineLvl w:val="1"/>
        <w:rPr>
          <w:rFonts w:hint="eastAsia" w:ascii="黑体" w:hAnsi="黑体" w:eastAsia="黑体" w:cs="黑体"/>
          <w:bCs w:val="0"/>
          <w:color w:val="auto"/>
          <w:sz w:val="30"/>
          <w:szCs w:val="30"/>
        </w:rPr>
      </w:pPr>
      <w:r>
        <w:rPr>
          <w:rFonts w:hint="eastAsia" w:ascii="黑体" w:hAnsi="黑体" w:eastAsia="黑体" w:cs="黑体"/>
          <w:bCs w:val="0"/>
          <w:color w:val="auto"/>
          <w:sz w:val="30"/>
          <w:szCs w:val="30"/>
        </w:rPr>
        <w:t>二、谈判组织</w:t>
      </w:r>
    </w:p>
    <w:p w14:paraId="6B00626D">
      <w:pPr>
        <w:widowControl w:val="0"/>
        <w:tabs>
          <w:tab w:val="left" w:pos="0"/>
          <w:tab w:val="left" w:pos="1080"/>
        </w:tabs>
        <w:spacing w:line="576" w:lineRule="exact"/>
        <w:ind w:firstLine="560" w:firstLineChars="200"/>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zh-CN"/>
        </w:rPr>
        <w:t>谈判工作由</w:t>
      </w:r>
      <w:r>
        <w:rPr>
          <w:rFonts w:hint="eastAsia" w:ascii="仿宋_GB2312" w:hAnsi="仿宋_GB2312" w:eastAsia="仿宋_GB2312" w:cs="仿宋_GB2312"/>
          <w:bCs/>
          <w:color w:val="auto"/>
          <w:sz w:val="28"/>
          <w:szCs w:val="28"/>
          <w:u w:val="none"/>
        </w:rPr>
        <w:t>采购人</w:t>
      </w:r>
      <w:r>
        <w:rPr>
          <w:rFonts w:hint="eastAsia" w:ascii="仿宋_GB2312" w:hAnsi="仿宋_GB2312" w:eastAsia="仿宋_GB2312" w:cs="仿宋_GB2312"/>
          <w:bCs/>
          <w:color w:val="auto"/>
          <w:sz w:val="28"/>
          <w:szCs w:val="28"/>
          <w:lang w:val="zh-CN"/>
        </w:rPr>
        <w:t>组织，具体谈判事务由谈判小组负责。</w:t>
      </w:r>
    </w:p>
    <w:p w14:paraId="4579ED1A">
      <w:pPr>
        <w:numPr>
          <w:ilvl w:val="0"/>
          <w:numId w:val="0"/>
        </w:numPr>
        <w:spacing w:before="0" w:beforeLines="0" w:after="0" w:afterLines="0" w:line="576" w:lineRule="exact"/>
        <w:ind w:firstLine="640"/>
        <w:jc w:val="both"/>
        <w:outlineLvl w:val="1"/>
        <w:rPr>
          <w:rFonts w:hint="eastAsia" w:ascii="黑体" w:hAnsi="黑体" w:eastAsia="黑体" w:cs="黑体"/>
          <w:bCs w:val="0"/>
          <w:color w:val="auto"/>
          <w:sz w:val="30"/>
          <w:szCs w:val="30"/>
        </w:rPr>
      </w:pPr>
      <w:r>
        <w:rPr>
          <w:rFonts w:hint="eastAsia" w:ascii="黑体" w:hAnsi="黑体" w:eastAsia="黑体" w:cs="黑体"/>
          <w:bCs w:val="0"/>
          <w:color w:val="auto"/>
          <w:sz w:val="30"/>
          <w:szCs w:val="30"/>
        </w:rPr>
        <w:t>三、谈判</w:t>
      </w:r>
      <w:r>
        <w:rPr>
          <w:rFonts w:hint="eastAsia" w:ascii="黑体" w:hAnsi="宋体" w:eastAsia="黑体" w:cs="黑体"/>
          <w:bCs w:val="0"/>
          <w:color w:val="000000"/>
          <w:kern w:val="2"/>
          <w:sz w:val="32"/>
          <w:szCs w:val="32"/>
          <w:lang w:bidi="ar"/>
        </w:rPr>
        <w:t>程序</w:t>
      </w:r>
      <w:r>
        <w:rPr>
          <w:rFonts w:hint="eastAsia" w:ascii="黑体" w:hAnsi="黑体" w:eastAsia="黑体" w:cs="黑体"/>
          <w:bCs w:val="0"/>
          <w:color w:val="auto"/>
          <w:sz w:val="30"/>
          <w:szCs w:val="30"/>
        </w:rPr>
        <w:t>和方法</w:t>
      </w:r>
    </w:p>
    <w:p w14:paraId="2364D541">
      <w:pPr>
        <w:widowControl w:val="0"/>
        <w:spacing w:before="0" w:beforeLines="0" w:afterLines="0" w:line="576" w:lineRule="exact"/>
        <w:ind w:firstLine="562" w:firstLineChars="200"/>
        <w:jc w:val="both"/>
        <w:outlineLvl w:val="9"/>
        <w:rPr>
          <w:rFonts w:hint="eastAsia" w:ascii="仿宋_GB2312" w:hAnsi="仿宋_GB2312" w:eastAsia="仿宋_GB2312" w:cs="仿宋_GB2312"/>
          <w:b/>
          <w:bCs w:val="0"/>
          <w:color w:val="auto"/>
          <w:sz w:val="28"/>
          <w:szCs w:val="28"/>
          <w:lang w:val="zh-CN"/>
        </w:rPr>
      </w:pPr>
      <w:r>
        <w:rPr>
          <w:rFonts w:hint="eastAsia" w:ascii="仿宋_GB2312" w:hAnsi="仿宋_GB2312" w:eastAsia="仿宋_GB2312" w:cs="仿宋_GB2312"/>
          <w:b/>
          <w:bCs w:val="0"/>
          <w:color w:val="auto"/>
          <w:sz w:val="28"/>
          <w:szCs w:val="28"/>
          <w:lang w:val="zh-CN"/>
        </w:rPr>
        <w:t>（一）资格审查</w:t>
      </w:r>
    </w:p>
    <w:p w14:paraId="25506CDC">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eastAsia="zh-CN"/>
        </w:rPr>
        <w:t>1.</w:t>
      </w:r>
      <w:r>
        <w:rPr>
          <w:rFonts w:hint="eastAsia" w:ascii="仿宋_GB2312" w:hAnsi="仿宋_GB2312" w:eastAsia="仿宋_GB2312" w:cs="仿宋_GB2312"/>
          <w:bCs/>
          <w:color w:val="auto"/>
          <w:sz w:val="28"/>
          <w:szCs w:val="28"/>
          <w:lang w:val="zh-CN"/>
        </w:rPr>
        <w:t>在供应商递交响应文件截止时间结束后，采购人组织谈判小组对递交响应文件的供应商进行资格性、符合性审查并同时进行比较与评价，确定参加谈判的供应商名单。</w:t>
      </w:r>
    </w:p>
    <w:p w14:paraId="2BC07C9D">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eastAsia="zh-CN"/>
        </w:rPr>
        <w:t>2</w:t>
      </w:r>
      <w:r>
        <w:rPr>
          <w:rFonts w:hint="eastAsia" w:ascii="仿宋_GB2312" w:hAnsi="仿宋_GB2312" w:eastAsia="仿宋_GB2312" w:cs="仿宋_GB2312"/>
          <w:bCs/>
          <w:color w:val="auto"/>
          <w:sz w:val="28"/>
          <w:szCs w:val="28"/>
          <w:lang w:val="zh-CN"/>
        </w:rPr>
        <w:t>.资格性审查需要依据法律法规和谈判文件的规定，对响应文件中的资格证明、谈判保证金等进行审查，以确定参选供应商是否具备参选资格。供应商响应文件属于下列情况之一的，在资格性审查时按照无效响应处理：</w:t>
      </w:r>
    </w:p>
    <w:p w14:paraId="3934F826">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w:t>
      </w:r>
      <w:r>
        <w:rPr>
          <w:rFonts w:hint="eastAsia" w:ascii="仿宋_GB2312" w:hAnsi="仿宋_GB2312" w:eastAsia="仿宋_GB2312" w:cs="仿宋_GB2312"/>
          <w:bCs/>
          <w:color w:val="auto"/>
          <w:sz w:val="28"/>
          <w:szCs w:val="28"/>
          <w:lang w:val="zh-CN" w:eastAsia="zh-CN"/>
        </w:rPr>
        <w:t>1</w:t>
      </w:r>
      <w:r>
        <w:rPr>
          <w:rFonts w:hint="eastAsia" w:ascii="仿宋_GB2312" w:hAnsi="仿宋_GB2312" w:eastAsia="仿宋_GB2312" w:cs="仿宋_GB2312"/>
          <w:bCs/>
          <w:color w:val="auto"/>
          <w:sz w:val="28"/>
          <w:szCs w:val="28"/>
          <w:lang w:val="zh-CN"/>
        </w:rPr>
        <w:t>）不具备谈判文件第一章中规定的资格要求的；</w:t>
      </w:r>
    </w:p>
    <w:p w14:paraId="166ED24A">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w:t>
      </w:r>
      <w:r>
        <w:rPr>
          <w:rFonts w:hint="eastAsia" w:ascii="仿宋_GB2312" w:hAnsi="仿宋_GB2312" w:eastAsia="仿宋_GB2312" w:cs="仿宋_GB2312"/>
          <w:bCs/>
          <w:color w:val="auto"/>
          <w:sz w:val="28"/>
          <w:szCs w:val="28"/>
          <w:lang w:val="zh-CN" w:eastAsia="zh-CN"/>
        </w:rPr>
        <w:t>2</w:t>
      </w:r>
      <w:r>
        <w:rPr>
          <w:rFonts w:hint="eastAsia" w:ascii="仿宋_GB2312" w:hAnsi="仿宋_GB2312" w:eastAsia="仿宋_GB2312" w:cs="仿宋_GB2312"/>
          <w:bCs/>
          <w:color w:val="auto"/>
          <w:sz w:val="28"/>
          <w:szCs w:val="28"/>
          <w:lang w:val="zh-CN"/>
        </w:rPr>
        <w:t>）谈判文件规定的其他无效情形。</w:t>
      </w:r>
    </w:p>
    <w:p w14:paraId="72A79B51">
      <w:pPr>
        <w:widowControl w:val="0"/>
        <w:spacing w:before="0" w:beforeLines="0" w:afterLines="0" w:line="576" w:lineRule="exact"/>
        <w:ind w:firstLine="562" w:firstLineChars="200"/>
        <w:jc w:val="both"/>
        <w:outlineLvl w:val="9"/>
        <w:rPr>
          <w:rFonts w:hint="eastAsia" w:ascii="仿宋_GB2312" w:hAnsi="仿宋_GB2312" w:eastAsia="仿宋_GB2312" w:cs="仿宋_GB2312"/>
          <w:b/>
          <w:bCs w:val="0"/>
          <w:color w:val="auto"/>
          <w:sz w:val="28"/>
          <w:szCs w:val="28"/>
          <w:lang w:val="zh-CN"/>
        </w:rPr>
      </w:pPr>
      <w:r>
        <w:rPr>
          <w:rFonts w:hint="eastAsia" w:ascii="仿宋_GB2312" w:hAnsi="仿宋_GB2312" w:eastAsia="仿宋_GB2312" w:cs="仿宋_GB2312"/>
          <w:b/>
          <w:bCs w:val="0"/>
          <w:color w:val="auto"/>
          <w:sz w:val="28"/>
          <w:szCs w:val="28"/>
          <w:lang w:val="zh-CN"/>
        </w:rPr>
        <w:t>（二）符合性审查</w:t>
      </w:r>
    </w:p>
    <w:p w14:paraId="20478147">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依据谈判文件的规定，从响应文件的有效性、完整性和对谈判文件的响应程度进行审查，以确定是否对谈判文件的实质性要求作出响应。供应商响应文件属于下列情况之一的，在符合性审查时按照无效响应处理：</w:t>
      </w:r>
    </w:p>
    <w:p w14:paraId="4D6937D4">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（1）未载明或者载明的采购项目履约时间、方式、数量及其他合同实质性内容与谈判文件要求不一致；</w:t>
      </w:r>
    </w:p>
    <w:p w14:paraId="138AB84D">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（2）未按照谈判文件规定的格式要求编制，且影响响应文件的资格性的；</w:t>
      </w:r>
    </w:p>
    <w:p w14:paraId="463E8A00">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（3</w:t>
      </w:r>
      <w:r>
        <w:rPr>
          <w:rFonts w:hint="eastAsia" w:ascii="仿宋_GB2312" w:hAnsi="仿宋_GB2312" w:eastAsia="仿宋_GB2312" w:cs="仿宋_GB2312"/>
          <w:bCs/>
          <w:color w:val="auto"/>
          <w:sz w:val="28"/>
          <w:szCs w:val="28"/>
          <w:lang w:val="zh-CN" w:eastAsia="zh-CN"/>
        </w:rPr>
        <w:t>）</w:t>
      </w:r>
      <w:r>
        <w:rPr>
          <w:rFonts w:hint="eastAsia" w:ascii="仿宋_GB2312" w:hAnsi="仿宋_GB2312" w:eastAsia="仿宋_GB2312" w:cs="仿宋_GB2312"/>
          <w:bCs/>
          <w:color w:val="auto"/>
          <w:sz w:val="28"/>
          <w:szCs w:val="28"/>
          <w:lang w:val="zh-CN"/>
        </w:rPr>
        <w:t>报价超出本项目的</w:t>
      </w:r>
      <w:r>
        <w:rPr>
          <w:rFonts w:hint="eastAsia" w:ascii="仿宋_GB2312" w:hAnsi="仿宋_GB2312" w:eastAsia="仿宋_GB2312" w:cs="仿宋_GB2312"/>
          <w:bCs/>
          <w:color w:val="auto"/>
          <w:sz w:val="28"/>
          <w:szCs w:val="28"/>
          <w:lang w:val="zh-CN" w:eastAsia="zh-CN"/>
        </w:rPr>
        <w:t>最高限价</w:t>
      </w:r>
      <w:r>
        <w:rPr>
          <w:rFonts w:hint="eastAsia" w:ascii="仿宋_GB2312" w:hAnsi="仿宋_GB2312" w:eastAsia="仿宋_GB2312" w:cs="仿宋_GB2312"/>
          <w:bCs/>
          <w:color w:val="auto"/>
          <w:sz w:val="28"/>
          <w:szCs w:val="28"/>
          <w:lang w:val="zh-CN"/>
        </w:rPr>
        <w:t>；</w:t>
      </w:r>
    </w:p>
    <w:p w14:paraId="6F7E56D9">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（4）附有采购人不能接受的条件或者不符合谈判文件规定的其他实质性要求。</w:t>
      </w:r>
    </w:p>
    <w:p w14:paraId="2B87C06B">
      <w:pPr>
        <w:widowControl w:val="0"/>
        <w:spacing w:before="0" w:beforeLines="0" w:afterLines="0" w:line="576" w:lineRule="exact"/>
        <w:ind w:firstLine="562" w:firstLineChars="200"/>
        <w:jc w:val="both"/>
        <w:outlineLvl w:val="9"/>
        <w:rPr>
          <w:rFonts w:hint="eastAsia" w:ascii="仿宋_GB2312" w:hAnsi="仿宋_GB2312" w:eastAsia="仿宋_GB2312" w:cs="仿宋_GB2312"/>
          <w:b/>
          <w:bCs w:val="0"/>
          <w:color w:val="auto"/>
          <w:sz w:val="28"/>
          <w:szCs w:val="28"/>
          <w:lang w:val="zh-CN"/>
        </w:rPr>
      </w:pPr>
      <w:bookmarkStart w:id="209" w:name="_Toc327324321"/>
      <w:r>
        <w:rPr>
          <w:rFonts w:hint="eastAsia" w:ascii="仿宋_GB2312" w:hAnsi="仿宋_GB2312" w:eastAsia="仿宋_GB2312" w:cs="仿宋_GB2312"/>
          <w:b/>
          <w:bCs w:val="0"/>
          <w:color w:val="auto"/>
          <w:sz w:val="28"/>
          <w:szCs w:val="28"/>
          <w:lang w:val="zh-CN"/>
        </w:rPr>
        <w:t>（三）谈判实施</w:t>
      </w:r>
    </w:p>
    <w:p w14:paraId="300D7529">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1.谈判小组成员按谈判文件规定集中与通过审查的供应商进行单独谈判，并由供应商向谈判小组提交最后报价。</w:t>
      </w:r>
    </w:p>
    <w:p w14:paraId="56A7638B">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2.谈判过程中，谈判小组可以根据谈判情况调整谈判轮次。谈判小组经采购人代表确认后，可以根据谈判情况实质性变动用户需求中的技术、服务要求以及合同草案条款，并将变更的内容及时以书面形式通知所有参加谈判的供应商，变动通知为本次谈判文件的有效组成部分。</w:t>
      </w:r>
    </w:p>
    <w:p w14:paraId="1D020883">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3.谈判过程中，供应商可以根据谈判情况变更其响应文件，并将变更内容形成书面材料送谈判小组。变更内容应作为响应文件的一部分。</w:t>
      </w:r>
    </w:p>
    <w:p w14:paraId="63D18CFF">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供应商书面材料应当签字确认，否则无效。供应商为法人的，应当由其法定代表人或者代理人签字确认。</w:t>
      </w:r>
    </w:p>
    <w:p w14:paraId="4059A389">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4.谈判小组经过最终谈判后，供应商响应文件仍然不能满足谈判文件规定的采购项目最低要求的，或者谈判过程中，谈判小组发现或者知晓供应商存在违法、违纪行为的，谈判小组应当将该供应商淘汰，不允许其参加最后报价。</w:t>
      </w:r>
    </w:p>
    <w:p w14:paraId="3FABB774">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5.供应商现场进行最后报价，报价函应当由法定代表人或者其代理人签字确认，否则无效。</w:t>
      </w:r>
    </w:p>
    <w:p w14:paraId="7B294A7E">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6.谈判结束后，部分供应商响应文件优于谈判文件要求的，不能以此作为高价成交的依据，谈判小组也不能接受其高价成交。</w:t>
      </w:r>
    </w:p>
    <w:p w14:paraId="7BF9155D">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7.谈判过程中，有下列情形之一的，视作谈判失败：</w:t>
      </w:r>
    </w:p>
    <w:p w14:paraId="7639CBEE">
      <w:pPr>
        <w:widowControl w:val="0"/>
        <w:spacing w:line="576" w:lineRule="exact"/>
        <w:ind w:firstLine="560" w:firstLineChars="200"/>
        <w:jc w:val="both"/>
        <w:rPr>
          <w:rFonts w:hint="eastAsia" w:ascii="仿宋_GB2312" w:hAnsi="仿宋_GB2312" w:eastAsia="仿宋_GB2312" w:cs="仿宋_GB2312"/>
          <w:bCs/>
          <w:color w:val="auto"/>
          <w:sz w:val="28"/>
          <w:szCs w:val="28"/>
          <w:highlight w:val="none"/>
          <w:lang w:val="zh-CN"/>
        </w:rPr>
      </w:pPr>
      <w:r>
        <w:rPr>
          <w:rFonts w:hint="eastAsia" w:ascii="仿宋_GB2312" w:hAnsi="仿宋_GB2312" w:eastAsia="仿宋_GB2312" w:cs="仿宋_GB2312"/>
          <w:bCs/>
          <w:color w:val="auto"/>
          <w:sz w:val="28"/>
          <w:szCs w:val="28"/>
          <w:highlight w:val="none"/>
          <w:lang w:val="zh-CN"/>
        </w:rPr>
        <w:t>（1）通过资格审查</w:t>
      </w:r>
      <w:r>
        <w:rPr>
          <w:rFonts w:hint="eastAsia" w:ascii="仿宋_GB2312" w:hAnsi="仿宋_GB2312" w:eastAsia="仿宋_GB2312" w:cs="仿宋_GB2312"/>
          <w:bCs/>
          <w:color w:val="auto"/>
          <w:sz w:val="28"/>
          <w:szCs w:val="28"/>
          <w:highlight w:val="none"/>
          <w:lang w:val="zh-CN" w:eastAsia="zh-CN"/>
        </w:rPr>
        <w:t>及符合性审查</w:t>
      </w:r>
      <w:r>
        <w:rPr>
          <w:rFonts w:hint="eastAsia" w:ascii="仿宋_GB2312" w:hAnsi="仿宋_GB2312" w:eastAsia="仿宋_GB2312" w:cs="仿宋_GB2312"/>
          <w:bCs/>
          <w:color w:val="auto"/>
          <w:sz w:val="28"/>
          <w:szCs w:val="28"/>
          <w:highlight w:val="none"/>
          <w:lang w:val="zh-CN"/>
        </w:rPr>
        <w:t>的供应商不足</w:t>
      </w:r>
      <w:r>
        <w:rPr>
          <w:rFonts w:hint="eastAsia" w:ascii="仿宋_GB2312" w:hAnsi="仿宋_GB2312" w:eastAsia="仿宋_GB2312" w:cs="仿宋_GB2312"/>
          <w:bCs/>
          <w:color w:val="auto"/>
          <w:sz w:val="28"/>
          <w:szCs w:val="28"/>
          <w:highlight w:val="none"/>
          <w:lang w:val="zh-CN" w:eastAsia="zh-CN"/>
        </w:rPr>
        <w:t>3</w:t>
      </w:r>
      <w:r>
        <w:rPr>
          <w:rFonts w:hint="eastAsia" w:ascii="仿宋_GB2312" w:hAnsi="仿宋_GB2312" w:eastAsia="仿宋_GB2312" w:cs="仿宋_GB2312"/>
          <w:bCs/>
          <w:color w:val="auto"/>
          <w:sz w:val="28"/>
          <w:szCs w:val="28"/>
          <w:highlight w:val="none"/>
          <w:lang w:val="zh-CN"/>
        </w:rPr>
        <w:t>家；</w:t>
      </w:r>
    </w:p>
    <w:p w14:paraId="45C4B9AB">
      <w:pPr>
        <w:widowControl w:val="0"/>
        <w:spacing w:line="576" w:lineRule="exact"/>
        <w:ind w:firstLine="560" w:firstLineChars="200"/>
        <w:jc w:val="both"/>
        <w:rPr>
          <w:rFonts w:hint="eastAsia" w:ascii="仿宋_GB2312" w:hAnsi="仿宋_GB2312" w:eastAsia="仿宋_GB2312" w:cs="仿宋_GB2312"/>
          <w:bCs/>
          <w:color w:val="auto"/>
          <w:sz w:val="28"/>
          <w:szCs w:val="28"/>
          <w:highlight w:val="none"/>
          <w:lang w:val="zh-CN" w:eastAsia="zh-CN"/>
        </w:rPr>
      </w:pPr>
      <w:r>
        <w:rPr>
          <w:rFonts w:hint="eastAsia" w:ascii="仿宋_GB2312" w:hAnsi="仿宋_GB2312" w:eastAsia="仿宋_GB2312" w:cs="仿宋_GB2312"/>
          <w:bCs/>
          <w:color w:val="auto"/>
          <w:sz w:val="28"/>
          <w:szCs w:val="28"/>
          <w:highlight w:val="none"/>
          <w:lang w:val="zh-CN"/>
        </w:rPr>
        <w:t>（</w:t>
      </w:r>
      <w:r>
        <w:rPr>
          <w:rFonts w:hint="eastAsia" w:ascii="仿宋_GB2312" w:hAnsi="仿宋_GB2312" w:eastAsia="仿宋_GB2312" w:cs="仿宋_GB2312"/>
          <w:bCs/>
          <w:color w:val="auto"/>
          <w:sz w:val="28"/>
          <w:szCs w:val="28"/>
          <w:highlight w:val="none"/>
          <w:lang w:val="zh-CN" w:eastAsia="zh-CN"/>
        </w:rPr>
        <w:t>2</w:t>
      </w:r>
      <w:r>
        <w:rPr>
          <w:rFonts w:hint="eastAsia" w:ascii="仿宋_GB2312" w:hAnsi="仿宋_GB2312" w:eastAsia="仿宋_GB2312" w:cs="仿宋_GB2312"/>
          <w:bCs/>
          <w:color w:val="auto"/>
          <w:sz w:val="28"/>
          <w:szCs w:val="28"/>
          <w:highlight w:val="none"/>
          <w:lang w:val="zh-CN"/>
        </w:rPr>
        <w:t>）供应商最后报价均</w:t>
      </w:r>
      <w:r>
        <w:rPr>
          <w:rFonts w:hint="eastAsia" w:ascii="仿宋_GB2312" w:hAnsi="仿宋_GB2312" w:eastAsia="仿宋_GB2312" w:cs="仿宋_GB2312"/>
          <w:bCs/>
          <w:color w:val="auto"/>
          <w:sz w:val="28"/>
          <w:szCs w:val="28"/>
          <w:highlight w:val="none"/>
          <w:lang w:val="zh-CN" w:eastAsia="zh-CN"/>
        </w:rPr>
        <w:t>超过</w:t>
      </w:r>
      <w:r>
        <w:rPr>
          <w:rFonts w:hint="eastAsia" w:ascii="仿宋_GB2312" w:hAnsi="仿宋_GB2312" w:eastAsia="仿宋_GB2312" w:cs="仿宋_GB2312"/>
          <w:bCs/>
          <w:color w:val="auto"/>
          <w:sz w:val="28"/>
          <w:szCs w:val="28"/>
          <w:highlight w:val="none"/>
          <w:lang w:val="zh-CN"/>
        </w:rPr>
        <w:t>本次采购最高限价</w:t>
      </w:r>
      <w:r>
        <w:rPr>
          <w:rFonts w:hint="eastAsia" w:ascii="仿宋_GB2312" w:hAnsi="仿宋_GB2312" w:eastAsia="仿宋_GB2312" w:cs="仿宋_GB2312"/>
          <w:bCs/>
          <w:color w:val="auto"/>
          <w:sz w:val="28"/>
          <w:szCs w:val="28"/>
          <w:highlight w:val="none"/>
          <w:lang w:val="zh-CN" w:eastAsia="zh-CN"/>
        </w:rPr>
        <w:t>；</w:t>
      </w:r>
    </w:p>
    <w:p w14:paraId="4D31C6A0">
      <w:pPr>
        <w:widowControl w:val="0"/>
        <w:spacing w:line="576" w:lineRule="exact"/>
        <w:ind w:firstLine="560" w:firstLineChars="200"/>
        <w:jc w:val="both"/>
        <w:rPr>
          <w:rFonts w:hint="eastAsia" w:ascii="仿宋" w:hAnsi="仿宋" w:eastAsia="仿宋" w:cs="仿宋"/>
          <w:bCs w:val="0"/>
          <w:color w:val="auto"/>
          <w:sz w:val="28"/>
          <w:szCs w:val="28"/>
        </w:rPr>
      </w:pPr>
      <w:r>
        <w:rPr>
          <w:rFonts w:hint="eastAsia" w:ascii="仿宋_GB2312" w:hAnsi="仿宋_GB2312" w:eastAsia="仿宋_GB2312" w:cs="仿宋_GB2312"/>
          <w:bCs/>
          <w:color w:val="auto"/>
          <w:sz w:val="28"/>
          <w:szCs w:val="28"/>
          <w:lang w:val="zh-CN"/>
        </w:rPr>
        <w:t>8.在谈判中，谈判的任何一方不得透露与谈判有关的其他供应商的技术资料、价格和其他信息。</w:t>
      </w:r>
    </w:p>
    <w:p w14:paraId="6A0473A5">
      <w:pPr>
        <w:numPr>
          <w:ilvl w:val="0"/>
          <w:numId w:val="0"/>
        </w:numPr>
        <w:spacing w:before="0" w:beforeLines="0" w:after="0" w:afterLines="0" w:line="576" w:lineRule="exact"/>
        <w:ind w:firstLine="640"/>
        <w:jc w:val="both"/>
        <w:outlineLvl w:val="1"/>
        <w:rPr>
          <w:rFonts w:hint="eastAsia" w:ascii="黑体" w:hAnsi="黑体" w:eastAsia="黑体" w:cs="黑体"/>
          <w:bCs w:val="0"/>
          <w:color w:val="auto"/>
          <w:sz w:val="30"/>
          <w:szCs w:val="30"/>
        </w:rPr>
      </w:pPr>
      <w:r>
        <w:rPr>
          <w:rFonts w:hint="eastAsia" w:ascii="黑体" w:hAnsi="黑体" w:eastAsia="黑体" w:cs="黑体"/>
          <w:bCs w:val="0"/>
          <w:color w:val="auto"/>
          <w:sz w:val="30"/>
          <w:szCs w:val="30"/>
        </w:rPr>
        <w:t>四、确定成交</w:t>
      </w:r>
      <w:r>
        <w:rPr>
          <w:rFonts w:hint="eastAsia" w:ascii="黑体" w:hAnsi="黑体" w:eastAsia="黑体" w:cs="黑体"/>
          <w:bCs w:val="0"/>
          <w:color w:val="auto"/>
          <w:sz w:val="30"/>
          <w:szCs w:val="30"/>
          <w:lang w:bidi="ar"/>
        </w:rPr>
        <w:t>供应商</w:t>
      </w:r>
      <w:r>
        <w:rPr>
          <w:rFonts w:hint="eastAsia" w:ascii="黑体" w:hAnsi="黑体" w:eastAsia="黑体" w:cs="黑体"/>
          <w:bCs w:val="0"/>
          <w:color w:val="auto"/>
          <w:sz w:val="30"/>
          <w:szCs w:val="30"/>
        </w:rPr>
        <w:t>的标准</w:t>
      </w:r>
    </w:p>
    <w:p w14:paraId="00DA3F6D">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1.本次采购活动遵循公平、公正、科学、择优、低价的原则。</w:t>
      </w:r>
    </w:p>
    <w:p w14:paraId="6E3C0011">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2.供应商报价结束后，谈判小组按照供应商的综合评分情况，由高到低排序，推荐</w:t>
      </w:r>
      <w:r>
        <w:rPr>
          <w:rFonts w:hint="eastAsia" w:ascii="仿宋_GB2312" w:hAnsi="仿宋_GB2312" w:eastAsia="仿宋_GB2312" w:cs="仿宋_GB2312"/>
          <w:bCs/>
          <w:color w:val="auto"/>
          <w:sz w:val="28"/>
          <w:szCs w:val="28"/>
          <w:lang w:val="zh-CN" w:eastAsia="zh-CN"/>
        </w:rPr>
        <w:t>3</w:t>
      </w:r>
      <w:r>
        <w:rPr>
          <w:rFonts w:hint="eastAsia" w:ascii="仿宋_GB2312" w:hAnsi="仿宋_GB2312" w:eastAsia="仿宋_GB2312" w:cs="仿宋_GB2312"/>
          <w:bCs/>
          <w:color w:val="auto"/>
          <w:sz w:val="28"/>
          <w:szCs w:val="28"/>
          <w:lang w:val="zh-CN"/>
        </w:rPr>
        <w:t>名成交候选供应商。</w:t>
      </w:r>
    </w:p>
    <w:p w14:paraId="3E4A4E18">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3.谈判小组推荐成交候选供应商后，应当向采购人出具评审报告和谈判纪要。</w:t>
      </w:r>
    </w:p>
    <w:p w14:paraId="005F8A28">
      <w:pPr>
        <w:widowControl w:val="0"/>
        <w:spacing w:line="576" w:lineRule="exact"/>
        <w:ind w:firstLine="560" w:firstLineChars="200"/>
        <w:jc w:val="both"/>
        <w:rPr>
          <w:rFonts w:hint="eastAsia" w:ascii="仿宋" w:hAnsi="仿宋" w:eastAsia="仿宋" w:cs="仿宋"/>
          <w:bCs w:val="0"/>
          <w:color w:val="auto"/>
          <w:sz w:val="28"/>
          <w:szCs w:val="28"/>
        </w:rPr>
      </w:pPr>
      <w:r>
        <w:rPr>
          <w:rFonts w:hint="eastAsia" w:ascii="仿宋_GB2312" w:hAnsi="仿宋_GB2312" w:eastAsia="仿宋_GB2312" w:cs="仿宋_GB2312"/>
          <w:bCs/>
          <w:color w:val="auto"/>
          <w:sz w:val="28"/>
          <w:szCs w:val="28"/>
          <w:lang w:val="zh-CN"/>
        </w:rPr>
        <w:t>4.对于违反谈判纪律的将可能被取消成交供应商资格或视为无效响应。</w:t>
      </w:r>
    </w:p>
    <w:p w14:paraId="1C039AAB">
      <w:pPr>
        <w:numPr>
          <w:ilvl w:val="0"/>
          <w:numId w:val="0"/>
        </w:numPr>
        <w:spacing w:before="0" w:beforeLines="0" w:after="0" w:afterLines="0" w:line="576" w:lineRule="exact"/>
        <w:ind w:firstLine="640"/>
        <w:jc w:val="both"/>
        <w:outlineLvl w:val="1"/>
        <w:rPr>
          <w:rFonts w:hint="eastAsia" w:ascii="黑体" w:hAnsi="黑体" w:eastAsia="黑体" w:cs="黑体"/>
          <w:bCs w:val="0"/>
          <w:color w:val="auto"/>
          <w:sz w:val="30"/>
          <w:szCs w:val="30"/>
        </w:rPr>
      </w:pPr>
      <w:r>
        <w:rPr>
          <w:rFonts w:hint="eastAsia" w:ascii="黑体" w:hAnsi="黑体" w:eastAsia="黑体" w:cs="黑体"/>
          <w:bCs w:val="0"/>
          <w:color w:val="auto"/>
          <w:sz w:val="30"/>
          <w:szCs w:val="30"/>
        </w:rPr>
        <w:t>五、综合评分</w:t>
      </w:r>
    </w:p>
    <w:p w14:paraId="57D13E34">
      <w:pPr>
        <w:widowControl w:val="0"/>
        <w:spacing w:line="576" w:lineRule="exact"/>
        <w:ind w:firstLine="560" w:firstLineChars="200"/>
        <w:jc w:val="both"/>
        <w:rPr>
          <w:rFonts w:hint="eastAsia" w:ascii="仿宋_GB2312" w:hAnsi="仿宋_GB2312" w:eastAsia="仿宋_GB2312" w:cs="仿宋_GB2312"/>
          <w:bCs/>
          <w:color w:val="auto"/>
          <w:kern w:val="0"/>
          <w:sz w:val="28"/>
          <w:szCs w:val="28"/>
          <w:lang w:val="zh-CN"/>
        </w:rPr>
      </w:pPr>
      <w:r>
        <w:rPr>
          <w:rFonts w:hint="eastAsia" w:ascii="仿宋_GB2312" w:hAnsi="仿宋_GB2312" w:eastAsia="仿宋_GB2312" w:cs="仿宋_GB2312"/>
          <w:bCs/>
          <w:color w:val="auto"/>
          <w:kern w:val="0"/>
          <w:sz w:val="28"/>
          <w:szCs w:val="28"/>
          <w:lang w:val="zh-CN"/>
        </w:rPr>
        <w:t>分值构成：总分100分</w:t>
      </w:r>
    </w:p>
    <w:p w14:paraId="3315998F">
      <w:pPr>
        <w:widowControl w:val="0"/>
        <w:spacing w:line="576" w:lineRule="exact"/>
        <w:ind w:firstLine="560" w:firstLineChars="200"/>
        <w:jc w:val="both"/>
        <w:rPr>
          <w:rFonts w:hint="eastAsia" w:ascii="仿宋_GB2312" w:hAnsi="仿宋_GB2312" w:eastAsia="仿宋_GB2312" w:cs="仿宋_GB2312"/>
          <w:bCs/>
          <w:color w:val="auto"/>
          <w:kern w:val="0"/>
          <w:sz w:val="28"/>
          <w:szCs w:val="28"/>
          <w:lang w:val="zh-CN"/>
        </w:rPr>
      </w:pPr>
      <w:r>
        <w:rPr>
          <w:rFonts w:hint="eastAsia" w:ascii="仿宋_GB2312" w:hAnsi="仿宋_GB2312" w:eastAsia="仿宋_GB2312" w:cs="仿宋_GB2312"/>
          <w:bCs/>
          <w:color w:val="auto"/>
          <w:kern w:val="0"/>
          <w:sz w:val="28"/>
          <w:szCs w:val="28"/>
          <w:lang w:val="zh-CN"/>
        </w:rPr>
        <w:t>具体评分细则如下：</w:t>
      </w:r>
    </w:p>
    <w:tbl>
      <w:tblPr>
        <w:tblStyle w:val="23"/>
        <w:tblW w:w="501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506"/>
        <w:gridCol w:w="1045"/>
        <w:gridCol w:w="5875"/>
        <w:gridCol w:w="763"/>
      </w:tblGrid>
      <w:tr w14:paraId="6A03A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99" w:hRule="atLeast"/>
          <w:tblHeader/>
          <w:jc w:val="center"/>
        </w:trPr>
        <w:tc>
          <w:tcPr>
            <w:tcW w:w="309"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70869CB6">
            <w:pPr>
              <w:spacing w:before="0" w:after="0" w:line="280" w:lineRule="exact"/>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序号</w:t>
            </w:r>
            <w:r>
              <w:rPr>
                <w:rFonts w:hint="eastAsia" w:ascii="仿宋_GB2312" w:hAnsi="仿宋_GB2312" w:eastAsia="仿宋_GB2312" w:cs="仿宋_GB2312"/>
                <w:b/>
                <w:color w:val="auto"/>
                <w:sz w:val="24"/>
                <w:szCs w:val="24"/>
                <w:highlight w:val="none"/>
              </w:rPr>
              <w:br w:type="page"/>
            </w:r>
          </w:p>
        </w:tc>
        <w:tc>
          <w:tcPr>
            <w:tcW w:w="638"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456B78B6">
            <w:pPr>
              <w:spacing w:before="0" w:after="0" w:line="280" w:lineRule="exact"/>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评审内容</w:t>
            </w:r>
          </w:p>
        </w:tc>
        <w:tc>
          <w:tcPr>
            <w:tcW w:w="3586"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19F136EE">
            <w:pPr>
              <w:spacing w:before="0" w:after="0" w:line="280" w:lineRule="exact"/>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评分标准</w:t>
            </w:r>
          </w:p>
        </w:tc>
        <w:tc>
          <w:tcPr>
            <w:tcW w:w="465"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7367B3E5">
            <w:pPr>
              <w:spacing w:before="0" w:after="0" w:line="280" w:lineRule="exact"/>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分值</w:t>
            </w:r>
          </w:p>
        </w:tc>
      </w:tr>
      <w:tr w14:paraId="294A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309" w:type="pct"/>
            <w:noWrap w:val="0"/>
            <w:vAlign w:val="center"/>
          </w:tcPr>
          <w:p w14:paraId="7E0E7F83">
            <w:pPr>
              <w:spacing w:before="0" w:after="0" w:line="28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638" w:type="pct"/>
            <w:noWrap w:val="0"/>
            <w:vAlign w:val="center"/>
          </w:tcPr>
          <w:p w14:paraId="20F6E4A2">
            <w:pPr>
              <w:pStyle w:val="11"/>
              <w:spacing w:before="0" w:line="280" w:lineRule="exact"/>
              <w:ind w:right="0"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规格参数响应</w:t>
            </w:r>
          </w:p>
        </w:tc>
        <w:tc>
          <w:tcPr>
            <w:tcW w:w="3586" w:type="pct"/>
            <w:noWrap w:val="0"/>
            <w:vAlign w:val="center"/>
          </w:tcPr>
          <w:p w14:paraId="5A68C9F3">
            <w:pPr>
              <w:spacing w:line="240" w:lineRule="auto"/>
              <w:ind w:firstLine="0" w:firstLineChars="0"/>
              <w:jc w:val="both"/>
              <w:rPr>
                <w:rFonts w:hint="eastAsia" w:ascii="仿宋_GB2312" w:hAnsi="仿宋_GB2312" w:eastAsia="仿宋_GB2312" w:cs="仿宋_GB2312"/>
                <w:color w:val="auto"/>
                <w:sz w:val="24"/>
                <w:szCs w:val="24"/>
                <w:highlight w:val="none"/>
                <w:lang w:val="zh-TW" w:eastAsia="zh-TW"/>
              </w:rPr>
            </w:pPr>
            <w:r>
              <w:rPr>
                <w:rFonts w:hint="eastAsia" w:ascii="仿宋_GB2312" w:hAnsi="仿宋_GB2312" w:eastAsia="仿宋_GB2312" w:cs="仿宋_GB2312"/>
                <w:color w:val="auto"/>
                <w:sz w:val="24"/>
                <w:szCs w:val="24"/>
                <w:highlight w:val="none"/>
              </w:rPr>
              <w:t>采购规格参数响应</w:t>
            </w:r>
            <w:r>
              <w:rPr>
                <w:rFonts w:hint="eastAsia" w:ascii="仿宋_GB2312" w:hAnsi="仿宋_GB2312" w:eastAsia="仿宋_GB2312" w:cs="仿宋_GB2312"/>
                <w:color w:val="auto"/>
                <w:sz w:val="24"/>
                <w:szCs w:val="24"/>
                <w:highlight w:val="none"/>
                <w:lang w:val="zh-TW" w:eastAsia="zh-TW"/>
              </w:rPr>
              <w:t>部分</w:t>
            </w:r>
            <w:r>
              <w:rPr>
                <w:rFonts w:hint="eastAsia" w:ascii="仿宋_GB2312" w:hAnsi="仿宋_GB2312" w:eastAsia="仿宋_GB2312" w:cs="仿宋_GB2312"/>
                <w:color w:val="auto"/>
                <w:sz w:val="24"/>
                <w:szCs w:val="24"/>
                <w:highlight w:val="none"/>
              </w:rPr>
              <w:t>满</w:t>
            </w:r>
            <w:r>
              <w:rPr>
                <w:rFonts w:hint="eastAsia" w:ascii="仿宋_GB2312" w:hAnsi="仿宋_GB2312" w:eastAsia="仿宋_GB2312" w:cs="仿宋_GB2312"/>
                <w:color w:val="auto"/>
                <w:sz w:val="24"/>
                <w:szCs w:val="24"/>
                <w:highlight w:val="none"/>
                <w:lang w:val="zh-TW" w:eastAsia="zh-TW"/>
              </w:rPr>
              <w:t>分</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lang w:val="zh-TW" w:eastAsia="zh-TW"/>
              </w:rPr>
              <w:t>分</w:t>
            </w:r>
            <w:r>
              <w:rPr>
                <w:rFonts w:hint="eastAsia" w:ascii="仿宋_GB2312" w:hAnsi="仿宋_GB2312" w:eastAsia="仿宋_GB2312" w:cs="仿宋_GB2312"/>
                <w:color w:val="auto"/>
                <w:sz w:val="24"/>
                <w:szCs w:val="24"/>
                <w:highlight w:val="none"/>
                <w:lang w:val="zh-TW"/>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lang w:val="zh-TW" w:eastAsia="zh-TW"/>
              </w:rPr>
              <w:t>对</w:t>
            </w:r>
            <w:r>
              <w:rPr>
                <w:rFonts w:hint="eastAsia" w:ascii="仿宋_GB2312" w:hAnsi="仿宋_GB2312" w:eastAsia="仿宋_GB2312" w:cs="仿宋_GB2312"/>
                <w:color w:val="auto"/>
                <w:sz w:val="24"/>
                <w:szCs w:val="24"/>
                <w:highlight w:val="none"/>
                <w:lang w:val="en-US" w:eastAsia="zh-CN"/>
              </w:rPr>
              <w:t>谈判</w:t>
            </w:r>
            <w:r>
              <w:rPr>
                <w:rFonts w:hint="eastAsia" w:ascii="仿宋_GB2312" w:hAnsi="仿宋_GB2312" w:eastAsia="仿宋_GB2312" w:cs="仿宋_GB2312"/>
                <w:color w:val="auto"/>
                <w:sz w:val="24"/>
                <w:szCs w:val="24"/>
                <w:highlight w:val="none"/>
                <w:lang w:val="zh-TW" w:eastAsia="zh-TW"/>
              </w:rPr>
              <w:t>文件采购需求清单中各项规格参数及要求</w:t>
            </w:r>
            <w:r>
              <w:rPr>
                <w:rFonts w:hint="eastAsia" w:ascii="仿宋_GB2312" w:hAnsi="仿宋_GB2312" w:eastAsia="仿宋_GB2312" w:cs="仿宋_GB2312"/>
                <w:color w:val="auto"/>
                <w:sz w:val="24"/>
                <w:szCs w:val="24"/>
                <w:highlight w:val="none"/>
              </w:rPr>
              <w:t>进行逐项</w:t>
            </w:r>
            <w:r>
              <w:rPr>
                <w:rFonts w:hint="eastAsia" w:ascii="仿宋_GB2312" w:hAnsi="仿宋_GB2312" w:eastAsia="仿宋_GB2312" w:cs="仿宋_GB2312"/>
                <w:color w:val="auto"/>
                <w:sz w:val="24"/>
                <w:szCs w:val="24"/>
                <w:highlight w:val="none"/>
                <w:lang w:val="zh-TW" w:eastAsia="zh-TW"/>
              </w:rPr>
              <w:t>响应，其中：</w:t>
            </w:r>
          </w:p>
          <w:p w14:paraId="66DC2C09">
            <w:pPr>
              <w:spacing w:line="240" w:lineRule="auto"/>
              <w:ind w:firstLine="0" w:firstLineChars="0"/>
              <w:jc w:val="both"/>
              <w:rPr>
                <w:rFonts w:hint="eastAsia" w:ascii="仿宋_GB2312" w:hAnsi="仿宋_GB2312" w:eastAsia="仿宋_GB2312" w:cs="仿宋_GB2312"/>
                <w:color w:val="auto"/>
                <w:sz w:val="24"/>
                <w:szCs w:val="24"/>
                <w:highlight w:val="none"/>
                <w:lang w:val="zh-TW" w:eastAsia="zh-TW"/>
              </w:rPr>
            </w:pPr>
            <w:r>
              <w:rPr>
                <w:rFonts w:hint="eastAsia" w:ascii="仿宋_GB2312" w:hAnsi="仿宋_GB2312" w:eastAsia="仿宋_GB2312" w:cs="仿宋_GB2312"/>
                <w:color w:val="auto"/>
                <w:sz w:val="24"/>
                <w:szCs w:val="24"/>
                <w:highlight w:val="none"/>
                <w:lang w:val="zh-TW" w:eastAsia="zh-TW"/>
              </w:rPr>
              <w:t>带“</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zh-TW" w:eastAsia="zh-TW"/>
              </w:rPr>
              <w:t>”项</w:t>
            </w:r>
            <w:r>
              <w:rPr>
                <w:rFonts w:hint="eastAsia" w:ascii="仿宋_GB2312" w:hAnsi="仿宋_GB2312" w:eastAsia="仿宋_GB2312" w:cs="仿宋_GB2312"/>
                <w:color w:val="auto"/>
                <w:sz w:val="24"/>
                <w:szCs w:val="24"/>
                <w:highlight w:val="none"/>
                <w:lang w:val="zh-TW"/>
              </w:rPr>
              <w:t>，</w:t>
            </w:r>
            <w:r>
              <w:rPr>
                <w:rFonts w:hint="eastAsia" w:ascii="仿宋_GB2312" w:hAnsi="仿宋_GB2312" w:eastAsia="仿宋_GB2312" w:cs="仿宋_GB2312"/>
                <w:color w:val="auto"/>
                <w:sz w:val="24"/>
                <w:szCs w:val="24"/>
                <w:highlight w:val="none"/>
                <w:lang w:val="zh-TW" w:eastAsia="zh-TW"/>
              </w:rPr>
              <w:t>一项不满足扣</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zh-TW" w:eastAsia="zh-TW"/>
              </w:rPr>
              <w:t>分；</w:t>
            </w:r>
          </w:p>
          <w:p w14:paraId="542183D1">
            <w:pPr>
              <w:spacing w:line="240" w:lineRule="auto"/>
              <w:ind w:firstLine="0" w:firstLineChars="0"/>
              <w:jc w:val="both"/>
              <w:rPr>
                <w:rFonts w:hint="eastAsia" w:ascii="仿宋_GB2312" w:hAnsi="仿宋_GB2312" w:eastAsia="仿宋_GB2312" w:cs="仿宋_GB2312"/>
                <w:color w:val="auto"/>
                <w:sz w:val="24"/>
                <w:szCs w:val="24"/>
                <w:highlight w:val="none"/>
                <w:lang w:val="zh-TW" w:eastAsia="zh-TW"/>
              </w:rPr>
            </w:pPr>
            <w:r>
              <w:rPr>
                <w:rFonts w:hint="eastAsia" w:ascii="仿宋_GB2312" w:hAnsi="仿宋_GB2312" w:eastAsia="仿宋_GB2312" w:cs="仿宋_GB2312"/>
                <w:color w:val="auto"/>
                <w:sz w:val="24"/>
                <w:szCs w:val="24"/>
                <w:highlight w:val="none"/>
                <w:lang w:val="zh-TW" w:eastAsia="zh-TW"/>
              </w:rPr>
              <w:t>非带“</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zh-TW" w:eastAsia="zh-TW"/>
              </w:rPr>
              <w:t>”项，一项不满足扣</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TW" w:eastAsia="zh-TW"/>
              </w:rPr>
              <w:t>分；</w:t>
            </w:r>
          </w:p>
          <w:p w14:paraId="1776671F">
            <w:pPr>
              <w:spacing w:line="240" w:lineRule="auto"/>
              <w:ind w:firstLine="0" w:firstLineChars="0"/>
              <w:jc w:val="both"/>
              <w:rPr>
                <w:rFonts w:hint="eastAsia" w:ascii="仿宋_GB2312" w:hAnsi="仿宋_GB2312" w:eastAsia="仿宋_GB2312" w:cs="仿宋_GB2312"/>
                <w:b/>
                <w:bCs/>
                <w:color w:val="auto"/>
                <w:sz w:val="24"/>
                <w:szCs w:val="24"/>
                <w:highlight w:val="none"/>
                <w:lang w:val="zh-TW" w:eastAsia="zh-TW"/>
              </w:rPr>
            </w:pPr>
            <w:r>
              <w:rPr>
                <w:rFonts w:hint="eastAsia" w:ascii="仿宋_GB2312" w:hAnsi="仿宋_GB2312" w:eastAsia="仿宋_GB2312" w:cs="仿宋_GB2312"/>
                <w:b/>
                <w:bCs/>
                <w:color w:val="auto"/>
                <w:sz w:val="24"/>
                <w:szCs w:val="24"/>
                <w:highlight w:val="none"/>
                <w:lang w:val="zh-TW" w:eastAsia="zh-TW"/>
              </w:rPr>
              <w:t>扣完该项分值为止。</w:t>
            </w:r>
          </w:p>
          <w:p w14:paraId="48E811CB">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TW" w:eastAsia="zh-TW"/>
              </w:rPr>
              <w:t>注：文件中的技术参数及要求为基础要求，</w:t>
            </w:r>
            <w:r>
              <w:rPr>
                <w:rFonts w:hint="eastAsia" w:ascii="仿宋_GB2312" w:hAnsi="仿宋_GB2312" w:eastAsia="仿宋_GB2312" w:cs="仿宋_GB2312"/>
                <w:color w:val="auto"/>
                <w:sz w:val="24"/>
                <w:szCs w:val="24"/>
                <w:highlight w:val="none"/>
                <w:lang w:val="zh-TW" w:eastAsia="zh-CN"/>
              </w:rPr>
              <w:t>响应人</w:t>
            </w:r>
            <w:r>
              <w:rPr>
                <w:rFonts w:hint="eastAsia" w:ascii="仿宋_GB2312" w:hAnsi="仿宋_GB2312" w:eastAsia="仿宋_GB2312" w:cs="仿宋_GB2312"/>
                <w:color w:val="auto"/>
                <w:sz w:val="24"/>
                <w:szCs w:val="24"/>
                <w:highlight w:val="none"/>
                <w:lang w:val="zh-TW" w:eastAsia="zh-TW"/>
              </w:rPr>
              <w:t>响应优于或等于</w:t>
            </w:r>
            <w:r>
              <w:rPr>
                <w:rFonts w:hint="eastAsia" w:ascii="仿宋_GB2312" w:hAnsi="仿宋_GB2312" w:eastAsia="仿宋_GB2312" w:cs="仿宋_GB2312"/>
                <w:color w:val="auto"/>
                <w:sz w:val="24"/>
                <w:szCs w:val="24"/>
                <w:highlight w:val="none"/>
                <w:lang w:val="zh-TW"/>
              </w:rPr>
              <w:t>文件要求</w:t>
            </w:r>
            <w:r>
              <w:rPr>
                <w:rFonts w:hint="eastAsia" w:ascii="仿宋_GB2312" w:hAnsi="仿宋_GB2312" w:eastAsia="仿宋_GB2312" w:cs="仿宋_GB2312"/>
                <w:color w:val="auto"/>
                <w:sz w:val="24"/>
                <w:szCs w:val="24"/>
                <w:highlight w:val="none"/>
                <w:lang w:val="zh-TW" w:eastAsia="zh-TW"/>
              </w:rPr>
              <w:t>均不扣分。带“</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zh-TW" w:eastAsia="zh-TW"/>
              </w:rPr>
              <w:t>”项需要提供对应的证明文件，否则不予计分。</w:t>
            </w:r>
          </w:p>
        </w:tc>
        <w:tc>
          <w:tcPr>
            <w:tcW w:w="465" w:type="pct"/>
            <w:noWrap w:val="0"/>
            <w:vAlign w:val="center"/>
          </w:tcPr>
          <w:p w14:paraId="1302FC31">
            <w:pPr>
              <w:spacing w:before="0" w:after="0" w:line="28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rPr>
              <w:t>分</w:t>
            </w:r>
          </w:p>
        </w:tc>
      </w:tr>
      <w:tr w14:paraId="27F3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309" w:type="pct"/>
            <w:noWrap w:val="0"/>
            <w:vAlign w:val="center"/>
          </w:tcPr>
          <w:p w14:paraId="0817E8D3">
            <w:pPr>
              <w:spacing w:before="0" w:after="0" w:line="28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p>
        </w:tc>
        <w:tc>
          <w:tcPr>
            <w:tcW w:w="638" w:type="pct"/>
            <w:noWrap w:val="0"/>
            <w:vAlign w:val="center"/>
          </w:tcPr>
          <w:p w14:paraId="5BEEC885">
            <w:pPr>
              <w:pStyle w:val="11"/>
              <w:spacing w:before="0" w:line="280" w:lineRule="exact"/>
              <w:ind w:right="0" w:firstLine="0" w:firstLineChars="0"/>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响应人</w:t>
            </w:r>
          </w:p>
          <w:p w14:paraId="69618840">
            <w:pPr>
              <w:pStyle w:val="11"/>
              <w:spacing w:before="0" w:line="280" w:lineRule="exact"/>
              <w:ind w:right="0"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资质及业务</w:t>
            </w:r>
            <w:r>
              <w:rPr>
                <w:rFonts w:hint="eastAsia" w:ascii="仿宋_GB2312" w:hAnsi="仿宋_GB2312" w:eastAsia="仿宋_GB2312" w:cs="仿宋_GB2312"/>
                <w:bCs/>
                <w:color w:val="auto"/>
                <w:sz w:val="24"/>
                <w:szCs w:val="24"/>
                <w:highlight w:val="none"/>
              </w:rPr>
              <w:t>能力</w:t>
            </w:r>
          </w:p>
        </w:tc>
        <w:tc>
          <w:tcPr>
            <w:tcW w:w="3586" w:type="pct"/>
            <w:noWrap w:val="0"/>
            <w:vAlign w:val="center"/>
          </w:tcPr>
          <w:p w14:paraId="4C5CC280">
            <w:pPr>
              <w:spacing w:line="240" w:lineRule="auto"/>
              <w:rPr>
                <w:rFonts w:hint="eastAsia" w:ascii="仿宋_GB2312" w:hAnsi="仿宋_GB2312" w:eastAsia="仿宋_GB2312" w:cs="仿宋_GB2312"/>
                <w:color w:val="auto"/>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i w:val="0"/>
                <w:iCs w:val="0"/>
                <w:caps w:val="0"/>
                <w:color w:val="auto"/>
                <w:spacing w:val="0"/>
                <w:sz w:val="24"/>
                <w:szCs w:val="24"/>
                <w:highlight w:val="none"/>
                <w:shd w:val="clear" w:color="auto" w:fill="auto"/>
              </w:rPr>
              <w:t>在项目谈判启动阶段，响应方</w:t>
            </w:r>
            <w:r>
              <w:rPr>
                <w:rFonts w:hint="eastAsia" w:ascii="仿宋_GB2312" w:hAnsi="仿宋_GB2312" w:eastAsia="仿宋_GB2312" w:cs="仿宋_GB2312"/>
                <w:b w:val="0"/>
                <w:bCs w:val="0"/>
                <w:i w:val="0"/>
                <w:iCs w:val="0"/>
                <w:caps w:val="0"/>
                <w:color w:val="auto"/>
                <w:spacing w:val="0"/>
                <w:sz w:val="24"/>
                <w:szCs w:val="24"/>
                <w:highlight w:val="none"/>
                <w:shd w:val="clear" w:color="auto" w:fill="auto"/>
              </w:rPr>
              <w:t>必须展示建设方案并进行</w:t>
            </w:r>
            <w:r>
              <w:rPr>
                <w:rFonts w:hint="eastAsia" w:ascii="仿宋_GB2312" w:hAnsi="仿宋_GB2312" w:eastAsia="仿宋_GB2312" w:cs="仿宋_GB2312"/>
                <w:b w:val="0"/>
                <w:bCs w:val="0"/>
                <w:i w:val="0"/>
                <w:iCs w:val="0"/>
                <w:caps w:val="0"/>
                <w:color w:val="auto"/>
                <w:spacing w:val="0"/>
                <w:sz w:val="24"/>
                <w:szCs w:val="24"/>
                <w:highlight w:val="none"/>
                <w:shd w:val="clear" w:color="auto" w:fill="auto"/>
                <w:lang w:val="en-US" w:eastAsia="zh-CN"/>
              </w:rPr>
              <w:t>Demo</w:t>
            </w:r>
            <w:r>
              <w:rPr>
                <w:rFonts w:hint="eastAsia" w:ascii="仿宋_GB2312" w:hAnsi="仿宋_GB2312" w:eastAsia="仿宋_GB2312" w:cs="仿宋_GB2312"/>
                <w:b w:val="0"/>
                <w:bCs w:val="0"/>
                <w:i w:val="0"/>
                <w:iCs w:val="0"/>
                <w:caps w:val="0"/>
                <w:color w:val="auto"/>
                <w:spacing w:val="0"/>
                <w:sz w:val="24"/>
                <w:szCs w:val="24"/>
                <w:highlight w:val="none"/>
                <w:shd w:val="clear" w:color="auto" w:fill="auto"/>
              </w:rPr>
              <w:t>系统演示</w:t>
            </w:r>
            <w:r>
              <w:rPr>
                <w:rFonts w:hint="eastAsia" w:ascii="仿宋_GB2312" w:hAnsi="仿宋_GB2312" w:eastAsia="仿宋_GB2312" w:cs="仿宋_GB2312"/>
                <w:b w:val="0"/>
                <w:bCs w:val="0"/>
                <w:i w:val="0"/>
                <w:iCs w:val="0"/>
                <w:caps w:val="0"/>
                <w:color w:val="auto"/>
                <w:spacing w:val="0"/>
                <w:sz w:val="24"/>
                <w:szCs w:val="24"/>
                <w:highlight w:val="none"/>
                <w:shd w:val="clear" w:color="auto" w:fill="auto"/>
                <w:lang w:eastAsia="zh-CN"/>
              </w:rPr>
              <w:t>，</w:t>
            </w:r>
            <w:r>
              <w:rPr>
                <w:rFonts w:hint="eastAsia" w:ascii="仿宋_GB2312" w:hAnsi="仿宋_GB2312" w:eastAsia="仿宋_GB2312" w:cs="仿宋_GB2312"/>
                <w:color w:val="auto"/>
                <w:sz w:val="24"/>
                <w:szCs w:val="24"/>
                <w:highlight w:val="none"/>
                <w:lang w:val="en-US" w:eastAsia="zh-CN"/>
              </w:rPr>
              <w:t>最高得6分；</w:t>
            </w:r>
          </w:p>
          <w:p w14:paraId="3A1D5627">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bidi="ar-SA"/>
              </w:rPr>
              <w:t>2、</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通过ISO9001质量管理体系认证，提供有效期内的证书得</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p w14:paraId="37D0F4FF">
            <w:pPr>
              <w:spacing w:line="240" w:lineRule="auto"/>
              <w:rPr>
                <w:rFonts w:hint="eastAsia" w:ascii="仿宋_GB2312" w:hAnsi="仿宋_GB2312" w:eastAsia="仿宋_GB2312" w:cs="仿宋_GB2312"/>
                <w:color w:val="auto"/>
                <w:sz w:val="24"/>
                <w:szCs w:val="24"/>
                <w:highlight w:val="none"/>
                <w:lang w:val="zh-TW" w:eastAsia="zh-TW"/>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通过ISO20000-1信息技术服务管理体系认证，</w:t>
            </w:r>
            <w:r>
              <w:rPr>
                <w:rFonts w:hint="eastAsia" w:ascii="仿宋_GB2312" w:hAnsi="仿宋_GB2312" w:eastAsia="仿宋_GB2312" w:cs="仿宋_GB2312"/>
                <w:color w:val="auto"/>
                <w:sz w:val="24"/>
                <w:szCs w:val="24"/>
                <w:highlight w:val="none"/>
                <w:lang w:val="zh-TW" w:eastAsia="zh-TW"/>
              </w:rPr>
              <w:t>提供有效期内的证书</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zh-TW" w:eastAsia="zh-TW"/>
              </w:rPr>
              <w:t>；</w:t>
            </w:r>
          </w:p>
          <w:p w14:paraId="3E30817C">
            <w:pPr>
              <w:spacing w:line="240" w:lineRule="auto"/>
              <w:rPr>
                <w:rFonts w:hint="eastAsia" w:ascii="仿宋_GB2312" w:hAnsi="仿宋_GB2312" w:eastAsia="仿宋_GB2312" w:cs="仿宋_GB2312"/>
                <w:color w:val="auto"/>
                <w:sz w:val="24"/>
                <w:szCs w:val="24"/>
                <w:highlight w:val="none"/>
                <w:lang w:val="zh-TW" w:eastAsia="zh-TW"/>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响应人</w:t>
            </w:r>
            <w:r>
              <w:rPr>
                <w:rFonts w:hint="eastAsia" w:ascii="仿宋_GB2312" w:hAnsi="仿宋_GB2312" w:eastAsia="仿宋_GB2312" w:cs="仿宋_GB2312"/>
                <w:color w:val="auto"/>
                <w:sz w:val="24"/>
                <w:szCs w:val="24"/>
                <w:highlight w:val="none"/>
              </w:rPr>
              <w:t>通过ISO27001信息安全管理体系认证，</w:t>
            </w:r>
            <w:r>
              <w:rPr>
                <w:rFonts w:hint="eastAsia" w:ascii="仿宋_GB2312" w:hAnsi="仿宋_GB2312" w:eastAsia="仿宋_GB2312" w:cs="仿宋_GB2312"/>
                <w:color w:val="auto"/>
                <w:sz w:val="24"/>
                <w:szCs w:val="24"/>
                <w:highlight w:val="none"/>
                <w:lang w:val="zh-TW" w:eastAsia="zh-TW"/>
              </w:rPr>
              <w:t>提供有效期内的证书</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p>
          <w:p w14:paraId="204DA546">
            <w:pPr>
              <w:spacing w:line="240" w:lineRule="auto"/>
              <w:jc w:val="left"/>
              <w:rPr>
                <w:rFonts w:hint="default" w:eastAsia="仿宋_GB2312"/>
                <w:highlight w:val="none"/>
                <w:lang w:val="en-US"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获得CMMI3认证及以上得3分</w:t>
            </w:r>
            <w:r>
              <w:rPr>
                <w:rFonts w:hint="eastAsia" w:ascii="仿宋_GB2312" w:hAnsi="仿宋_GB2312" w:eastAsia="仿宋_GB2312" w:cs="仿宋_GB2312"/>
                <w:color w:val="auto"/>
                <w:sz w:val="24"/>
                <w:szCs w:val="24"/>
                <w:highlight w:val="none"/>
                <w:lang w:val="zh-TW" w:eastAsia="zh-TW"/>
              </w:rPr>
              <w:t>。</w:t>
            </w:r>
          </w:p>
        </w:tc>
        <w:tc>
          <w:tcPr>
            <w:tcW w:w="465" w:type="pct"/>
            <w:noWrap w:val="0"/>
            <w:vAlign w:val="center"/>
          </w:tcPr>
          <w:p w14:paraId="54DE6647">
            <w:pPr>
              <w:spacing w:before="0" w:after="0" w:line="28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分</w:t>
            </w:r>
          </w:p>
        </w:tc>
      </w:tr>
      <w:tr w14:paraId="5EC2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8" w:hRule="atLeast"/>
          <w:jc w:val="center"/>
        </w:trPr>
        <w:tc>
          <w:tcPr>
            <w:tcW w:w="309" w:type="pct"/>
            <w:noWrap w:val="0"/>
            <w:vAlign w:val="center"/>
          </w:tcPr>
          <w:p w14:paraId="72FD314F">
            <w:pPr>
              <w:spacing w:before="0" w:after="0" w:line="28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w:t>
            </w:r>
          </w:p>
        </w:tc>
        <w:tc>
          <w:tcPr>
            <w:tcW w:w="638" w:type="pct"/>
            <w:noWrap w:val="0"/>
            <w:vAlign w:val="center"/>
          </w:tcPr>
          <w:p w14:paraId="517D59CF">
            <w:pPr>
              <w:pStyle w:val="11"/>
              <w:spacing w:before="0" w:line="280" w:lineRule="exact"/>
              <w:ind w:right="0" w:firstLine="0" w:firstLineChars="0"/>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响应人</w:t>
            </w:r>
          </w:p>
          <w:p w14:paraId="4936D067">
            <w:pPr>
              <w:pStyle w:val="11"/>
              <w:spacing w:before="0" w:line="280" w:lineRule="exact"/>
              <w:ind w:right="0"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项目经验</w:t>
            </w:r>
          </w:p>
        </w:tc>
        <w:tc>
          <w:tcPr>
            <w:tcW w:w="3586" w:type="pct"/>
            <w:noWrap w:val="0"/>
            <w:vAlign w:val="center"/>
          </w:tcPr>
          <w:p w14:paraId="65BCC7B9">
            <w:pPr>
              <w:widowControl/>
              <w:spacing w:line="240" w:lineRule="auto"/>
              <w:jc w:val="both"/>
              <w:textAlignment w:val="auto"/>
              <w:rPr>
                <w:rFonts w:hint="default" w:ascii="仿宋_GB2312" w:hAnsi="仿宋_GB2312" w:eastAsia="仿宋_GB2312" w:cs="仿宋_GB2312"/>
                <w:color w:val="auto"/>
                <w:sz w:val="24"/>
                <w:szCs w:val="24"/>
                <w:highlight w:val="none"/>
                <w:lang w:val="en-US" w:eastAsia="zh-CN" w:bidi="zh-TW"/>
              </w:rPr>
            </w:pPr>
            <w:r>
              <w:rPr>
                <w:rFonts w:hint="eastAsia" w:ascii="仿宋_GB2312" w:hAnsi="仿宋_GB2312" w:eastAsia="仿宋_GB2312" w:cs="仿宋_GB2312"/>
                <w:color w:val="auto"/>
                <w:sz w:val="24"/>
                <w:szCs w:val="24"/>
                <w:highlight w:val="none"/>
                <w:lang w:bidi="zh-TW"/>
              </w:rPr>
              <w:t>202</w:t>
            </w:r>
            <w:r>
              <w:rPr>
                <w:rFonts w:hint="eastAsia" w:ascii="仿宋_GB2312" w:hAnsi="仿宋_GB2312" w:eastAsia="仿宋_GB2312" w:cs="仿宋_GB2312"/>
                <w:color w:val="auto"/>
                <w:sz w:val="24"/>
                <w:szCs w:val="24"/>
                <w:highlight w:val="none"/>
                <w:lang w:val="en-US" w:eastAsia="zh-CN" w:bidi="zh-TW"/>
              </w:rPr>
              <w:t>2</w:t>
            </w:r>
            <w:r>
              <w:rPr>
                <w:rFonts w:hint="eastAsia" w:ascii="仿宋_GB2312" w:hAnsi="仿宋_GB2312" w:eastAsia="仿宋_GB2312" w:cs="仿宋_GB2312"/>
                <w:color w:val="auto"/>
                <w:sz w:val="24"/>
                <w:szCs w:val="24"/>
                <w:highlight w:val="none"/>
                <w:lang w:bidi="zh-TW"/>
              </w:rPr>
              <w:t>年</w:t>
            </w:r>
            <w:r>
              <w:rPr>
                <w:rFonts w:hint="eastAsia" w:ascii="仿宋_GB2312" w:hAnsi="仿宋_GB2312" w:eastAsia="仿宋_GB2312" w:cs="仿宋_GB2312"/>
                <w:color w:val="auto"/>
                <w:sz w:val="24"/>
                <w:szCs w:val="24"/>
                <w:highlight w:val="none"/>
                <w:lang w:val="en-US" w:eastAsia="zh-CN" w:bidi="zh-TW"/>
              </w:rPr>
              <w:t>7</w:t>
            </w:r>
            <w:r>
              <w:rPr>
                <w:rFonts w:hint="eastAsia" w:ascii="仿宋_GB2312" w:hAnsi="仿宋_GB2312" w:eastAsia="仿宋_GB2312" w:cs="仿宋_GB2312"/>
                <w:color w:val="auto"/>
                <w:sz w:val="24"/>
                <w:szCs w:val="24"/>
                <w:highlight w:val="none"/>
                <w:lang w:bidi="zh-TW"/>
              </w:rPr>
              <w:t>月1日至响应截止时间（以合同签订时间为准)具有</w:t>
            </w:r>
            <w:r>
              <w:rPr>
                <w:rFonts w:hint="eastAsia" w:ascii="仿宋_GB2312" w:hAnsi="仿宋_GB2312" w:eastAsia="仿宋_GB2312" w:cs="仿宋_GB2312"/>
                <w:color w:val="auto"/>
                <w:sz w:val="24"/>
                <w:szCs w:val="24"/>
                <w:highlight w:val="none"/>
                <w:lang w:val="en-US" w:eastAsia="zh-CN" w:bidi="zh-TW"/>
              </w:rPr>
              <w:t>财务域的数据类BI相关项目</w:t>
            </w:r>
            <w:r>
              <w:rPr>
                <w:rFonts w:hint="eastAsia" w:ascii="仿宋_GB2312" w:hAnsi="仿宋_GB2312" w:eastAsia="仿宋_GB2312" w:cs="仿宋_GB2312"/>
                <w:color w:val="auto"/>
                <w:sz w:val="24"/>
                <w:szCs w:val="24"/>
                <w:highlight w:val="none"/>
                <w:lang w:bidi="zh-TW"/>
              </w:rPr>
              <w:t>的合同业绩</w:t>
            </w:r>
            <w:r>
              <w:rPr>
                <w:rFonts w:hint="eastAsia" w:ascii="仿宋_GB2312" w:hAnsi="仿宋_GB2312" w:eastAsia="仿宋_GB2312" w:cs="仿宋_GB2312"/>
                <w:color w:val="auto"/>
                <w:sz w:val="24"/>
                <w:szCs w:val="24"/>
                <w:highlight w:val="none"/>
                <w:lang w:eastAsia="zh-CN" w:bidi="zh-TW"/>
              </w:rPr>
              <w:t>，</w:t>
            </w:r>
            <w:r>
              <w:rPr>
                <w:rFonts w:hint="eastAsia" w:ascii="仿宋_GB2312" w:hAnsi="仿宋_GB2312" w:eastAsia="仿宋_GB2312" w:cs="仿宋_GB2312"/>
                <w:color w:val="auto"/>
                <w:sz w:val="24"/>
                <w:szCs w:val="24"/>
                <w:highlight w:val="none"/>
                <w:lang w:val="en-US" w:eastAsia="zh-CN" w:bidi="zh-TW"/>
              </w:rPr>
              <w:t>其中：</w:t>
            </w:r>
          </w:p>
          <w:p w14:paraId="5C517946">
            <w:pPr>
              <w:widowControl/>
              <w:spacing w:line="240" w:lineRule="auto"/>
              <w:jc w:val="both"/>
              <w:textAlignment w:val="auto"/>
              <w:rPr>
                <w:rFonts w:hint="eastAsia" w:ascii="仿宋_GB2312" w:hAnsi="仿宋_GB2312" w:eastAsia="仿宋_GB2312" w:cs="仿宋_GB2312"/>
                <w:color w:val="auto"/>
                <w:sz w:val="24"/>
                <w:szCs w:val="24"/>
                <w:highlight w:val="none"/>
                <w:lang w:val="en-US" w:eastAsia="zh-CN" w:bidi="zh-TW"/>
              </w:rPr>
            </w:pPr>
            <w:r>
              <w:rPr>
                <w:rFonts w:hint="eastAsia" w:ascii="仿宋_GB2312" w:hAnsi="仿宋_GB2312" w:eastAsia="仿宋_GB2312" w:cs="仿宋_GB2312"/>
                <w:color w:val="auto"/>
                <w:sz w:val="24"/>
                <w:szCs w:val="24"/>
                <w:highlight w:val="none"/>
                <w:lang w:val="en-US" w:eastAsia="zh-CN" w:bidi="zh-TW"/>
              </w:rPr>
              <w:t>具有单个合同金额100万及以上，每1个得2分；</w:t>
            </w:r>
          </w:p>
          <w:p w14:paraId="548ACE95">
            <w:pPr>
              <w:widowControl/>
              <w:spacing w:line="240" w:lineRule="auto"/>
              <w:jc w:val="both"/>
              <w:textAlignment w:val="auto"/>
              <w:rPr>
                <w:rFonts w:hint="eastAsia" w:ascii="仿宋_GB2312" w:hAnsi="仿宋_GB2312" w:eastAsia="仿宋_GB2312" w:cs="仿宋_GB2312"/>
                <w:color w:val="auto"/>
                <w:sz w:val="24"/>
                <w:szCs w:val="24"/>
                <w:highlight w:val="none"/>
                <w:lang w:val="en-US" w:eastAsia="zh-CN" w:bidi="zh-TW"/>
              </w:rPr>
            </w:pPr>
            <w:r>
              <w:rPr>
                <w:rFonts w:hint="eastAsia" w:ascii="仿宋_GB2312" w:hAnsi="仿宋_GB2312" w:eastAsia="仿宋_GB2312" w:cs="仿宋_GB2312"/>
                <w:color w:val="auto"/>
                <w:sz w:val="24"/>
                <w:szCs w:val="24"/>
                <w:highlight w:val="none"/>
                <w:lang w:val="en-US" w:eastAsia="zh-CN" w:bidi="zh-TW"/>
              </w:rPr>
              <w:t>具有单个合同金额50万及以上，每1个得1分；</w:t>
            </w:r>
          </w:p>
          <w:p w14:paraId="252BAC54">
            <w:pPr>
              <w:jc w:val="both"/>
              <w:rPr>
                <w:rFonts w:hint="eastAsia" w:ascii="仿宋_GB2312" w:hAnsi="仿宋_GB2312" w:eastAsia="仿宋_GB2312" w:cs="仿宋_GB2312"/>
                <w:color w:val="auto"/>
                <w:sz w:val="24"/>
                <w:szCs w:val="24"/>
                <w:highlight w:val="none"/>
                <w:lang w:val="en-US" w:eastAsia="zh-CN" w:bidi="zh-TW"/>
              </w:rPr>
            </w:pPr>
            <w:r>
              <w:rPr>
                <w:rFonts w:hint="eastAsia" w:ascii="仿宋_GB2312" w:hAnsi="仿宋_GB2312" w:eastAsia="仿宋_GB2312" w:cs="仿宋_GB2312"/>
                <w:color w:val="auto"/>
                <w:sz w:val="24"/>
                <w:szCs w:val="24"/>
                <w:highlight w:val="none"/>
                <w:lang w:val="en-US" w:eastAsia="zh-CN"/>
              </w:rPr>
              <w:t>若</w:t>
            </w:r>
            <w:r>
              <w:rPr>
                <w:rFonts w:hint="eastAsia" w:ascii="仿宋_GB2312" w:hAnsi="仿宋_GB2312" w:eastAsia="仿宋_GB2312" w:cs="仿宋_GB2312"/>
                <w:color w:val="auto"/>
                <w:sz w:val="24"/>
                <w:szCs w:val="24"/>
                <w:highlight w:val="none"/>
                <w:lang w:val="en-US" w:eastAsia="zh-CN" w:bidi="zh-TW"/>
              </w:rPr>
              <w:t>只提供合同案例为50万以下的案例，则得1分；</w:t>
            </w:r>
          </w:p>
          <w:p w14:paraId="660A5076">
            <w:pPr>
              <w:jc w:val="both"/>
              <w:rPr>
                <w:rFonts w:hint="default" w:ascii="仿宋_GB2312" w:hAnsi="仿宋_GB2312" w:eastAsia="仿宋_GB2312" w:cs="仿宋_GB2312"/>
                <w:color w:val="auto"/>
                <w:sz w:val="24"/>
                <w:szCs w:val="24"/>
                <w:highlight w:val="none"/>
                <w:lang w:val="en-US" w:eastAsia="zh-CN" w:bidi="zh-TW"/>
              </w:rPr>
            </w:pPr>
            <w:r>
              <w:rPr>
                <w:rFonts w:hint="eastAsia" w:ascii="仿宋_GB2312" w:hAnsi="仿宋_GB2312" w:eastAsia="仿宋_GB2312" w:cs="仿宋_GB2312"/>
                <w:color w:val="auto"/>
                <w:sz w:val="24"/>
                <w:szCs w:val="24"/>
                <w:highlight w:val="none"/>
                <w:lang w:val="en-US" w:eastAsia="zh-CN" w:bidi="zh-TW"/>
              </w:rPr>
              <w:t>最高得8分。</w:t>
            </w:r>
          </w:p>
          <w:p w14:paraId="10381133">
            <w:pPr>
              <w:spacing w:line="240" w:lineRule="auto"/>
              <w:ind w:firstLine="0" w:firstLineChars="0"/>
              <w:jc w:val="both"/>
              <w:rPr>
                <w:rFonts w:hint="eastAsia" w:ascii="仿宋_GB2312" w:hAnsi="仿宋_GB2312" w:eastAsia="仿宋_GB2312" w:cs="仿宋_GB2312"/>
                <w:sz w:val="24"/>
                <w:szCs w:val="24"/>
                <w:highlight w:val="none"/>
                <w:lang w:val="zh-TW" w:eastAsia="zh-TW"/>
              </w:rPr>
            </w:pPr>
            <w:r>
              <w:rPr>
                <w:rFonts w:hint="eastAsia" w:ascii="仿宋_GB2312" w:hAnsi="仿宋_GB2312" w:eastAsia="仿宋_GB2312" w:cs="仿宋_GB2312"/>
                <w:color w:val="auto"/>
                <w:sz w:val="24"/>
                <w:szCs w:val="24"/>
                <w:highlight w:val="none"/>
              </w:rPr>
              <w:t>注：①需提供合同扫描件（包括首页、合同范围页或设备清单页、合同金额页、签 字盖章页）；②如提供框架合同，还须提供后续签订的单项合同（含双方盖章）或采购 订单（含双方盖章），框架合同金额按响应人提供的单项合同或采购订单累计，且按一个合同计取。③所提供的业绩证明材料应能充分反映评审因素。如未能明确反映评审因 素的（如合同签订时间、合同金额、合同内容等），应另附业主（或合同甲方）证明材料予以明确说明。</w:t>
            </w:r>
          </w:p>
        </w:tc>
        <w:tc>
          <w:tcPr>
            <w:tcW w:w="465" w:type="pct"/>
            <w:noWrap w:val="0"/>
            <w:vAlign w:val="center"/>
          </w:tcPr>
          <w:p w14:paraId="4CDDA472">
            <w:pPr>
              <w:spacing w:before="0" w:after="0" w:line="28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分</w:t>
            </w:r>
          </w:p>
        </w:tc>
      </w:tr>
      <w:tr w14:paraId="1B44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0" w:hRule="atLeast"/>
          <w:jc w:val="center"/>
        </w:trPr>
        <w:tc>
          <w:tcPr>
            <w:tcW w:w="309" w:type="pct"/>
            <w:noWrap w:val="0"/>
            <w:vAlign w:val="center"/>
          </w:tcPr>
          <w:p w14:paraId="41061BCF">
            <w:pPr>
              <w:spacing w:before="0" w:after="0" w:line="28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w:t>
            </w:r>
          </w:p>
        </w:tc>
        <w:tc>
          <w:tcPr>
            <w:tcW w:w="638" w:type="pct"/>
            <w:noWrap w:val="0"/>
            <w:vAlign w:val="center"/>
          </w:tcPr>
          <w:p w14:paraId="1791C606">
            <w:pPr>
              <w:pStyle w:val="11"/>
              <w:spacing w:before="0" w:line="280" w:lineRule="exact"/>
              <w:ind w:right="0"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本</w:t>
            </w:r>
            <w:r>
              <w:rPr>
                <w:rFonts w:hint="eastAsia" w:ascii="仿宋_GB2312" w:hAnsi="仿宋_GB2312" w:eastAsia="仿宋_GB2312" w:cs="仿宋_GB2312"/>
                <w:bCs/>
                <w:color w:val="auto"/>
                <w:sz w:val="24"/>
                <w:szCs w:val="24"/>
                <w:highlight w:val="none"/>
              </w:rPr>
              <w:t>项目实施方案</w:t>
            </w:r>
          </w:p>
        </w:tc>
        <w:tc>
          <w:tcPr>
            <w:tcW w:w="3586" w:type="pct"/>
            <w:noWrap w:val="0"/>
            <w:vAlign w:val="center"/>
          </w:tcPr>
          <w:p w14:paraId="4859AFA2">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val="0"/>
                <w:color w:val="auto"/>
                <w:sz w:val="24"/>
                <w:szCs w:val="24"/>
                <w:highlight w:val="none"/>
              </w:rPr>
              <w:t>项目实施方案</w:t>
            </w:r>
            <w:r>
              <w:rPr>
                <w:rFonts w:hint="eastAsia" w:ascii="仿宋_GB2312" w:hAnsi="仿宋_GB2312" w:eastAsia="仿宋_GB2312" w:cs="仿宋_GB2312"/>
                <w:color w:val="auto"/>
                <w:sz w:val="24"/>
                <w:szCs w:val="24"/>
                <w:highlight w:val="none"/>
              </w:rPr>
              <w:t>主要包含以下方面：</w:t>
            </w:r>
          </w:p>
          <w:p w14:paraId="7F3E874E">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财务实施</w:t>
            </w:r>
            <w:r>
              <w:rPr>
                <w:rFonts w:hint="eastAsia" w:ascii="仿宋_GB2312" w:hAnsi="仿宋_GB2312" w:eastAsia="仿宋_GB2312" w:cs="仿宋_GB2312"/>
                <w:color w:val="auto"/>
                <w:sz w:val="24"/>
                <w:szCs w:val="24"/>
                <w:highlight w:val="none"/>
              </w:rPr>
              <w:t>方案与实施方法（</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p>
          <w:p w14:paraId="0E89555F">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针对本次财务项目需求进行从底层到前端专业性建设方案</w:t>
            </w:r>
            <w:r>
              <w:rPr>
                <w:rFonts w:hint="eastAsia" w:ascii="仿宋_GB2312" w:hAnsi="仿宋_GB2312" w:eastAsia="仿宋_GB2312" w:cs="仿宋_GB2312"/>
                <w:color w:val="auto"/>
                <w:sz w:val="24"/>
                <w:szCs w:val="24"/>
                <w:highlight w:val="none"/>
              </w:rPr>
              <w:t>。</w:t>
            </w:r>
          </w:p>
          <w:p w14:paraId="3CAC7E07">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、项目组织与进度管理（3分）：</w:t>
            </w:r>
          </w:p>
          <w:p w14:paraId="5EC9D1DF">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方案需明确组织架构、职责分工、实施流程及进度保障措施，确保项目按期高效推进。</w:t>
            </w:r>
          </w:p>
          <w:p w14:paraId="1A082497">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3、团队配置与专业能力（</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p w14:paraId="0583F64D">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项目团队人员配置合理，专业结构匹配，关键岗位人员资质和经验满足项目要求。</w:t>
            </w:r>
          </w:p>
          <w:p w14:paraId="59F4EA39">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4、质量与风险管理（</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p>
          <w:p w14:paraId="1AC6A8D4">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质量管理体系完善，风险识别全面，防控措施有效，应急响应机制健全。</w:t>
            </w:r>
          </w:p>
          <w:p w14:paraId="26512B3C">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5、文档规范与交付</w:t>
            </w:r>
            <w:r>
              <w:rPr>
                <w:rFonts w:hint="eastAsia" w:ascii="仿宋_GB2312" w:hAnsi="仿宋_GB2312" w:eastAsia="仿宋_GB2312" w:cs="仿宋_GB2312"/>
                <w:color w:val="auto"/>
                <w:sz w:val="24"/>
                <w:szCs w:val="24"/>
                <w:highlight w:val="none"/>
                <w:lang w:val="en-US" w:eastAsia="zh-CN"/>
              </w:rPr>
              <w:t>标准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p>
          <w:p w14:paraId="4DFD32CB">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文档管理体系规范，分类清晰，成果交付标准明确，具备完整的可追溯性。</w:t>
            </w:r>
          </w:p>
          <w:p w14:paraId="79515169">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p>
          <w:p w14:paraId="3DED8218">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（1）方案涵盖上述所有内容且方案内容符合或优于需求条件的得1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p>
          <w:p w14:paraId="5B38F6E6">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方案内容存在一处缺陷（内容缺陷是指：内容不符合采购需求或不适用项目特性的情形、内容不完整或缺少关键节点、套用其他项目方案、内容前后矛盾、涉及的规范及标准错误、不利于项目实施、不可能实现的情形等任意一种情形）相应项扣</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p w14:paraId="21995747">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（3）不提供方案的，不得分。</w:t>
            </w:r>
          </w:p>
        </w:tc>
        <w:tc>
          <w:tcPr>
            <w:tcW w:w="465" w:type="pct"/>
            <w:noWrap w:val="0"/>
            <w:vAlign w:val="center"/>
          </w:tcPr>
          <w:p w14:paraId="420AB072">
            <w:pPr>
              <w:spacing w:before="0" w:after="0" w:line="28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p>
        </w:tc>
      </w:tr>
      <w:tr w14:paraId="63E4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0" w:hRule="atLeast"/>
          <w:jc w:val="center"/>
        </w:trPr>
        <w:tc>
          <w:tcPr>
            <w:tcW w:w="309" w:type="pct"/>
            <w:noWrap w:val="0"/>
            <w:vAlign w:val="center"/>
          </w:tcPr>
          <w:p w14:paraId="4037EB48">
            <w:pPr>
              <w:spacing w:before="0" w:after="0" w:line="28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638" w:type="pct"/>
            <w:noWrap w:val="0"/>
            <w:vAlign w:val="center"/>
          </w:tcPr>
          <w:p w14:paraId="0EE942A9">
            <w:pPr>
              <w:spacing w:before="0" w:after="0" w:line="28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售后服务方案</w:t>
            </w:r>
          </w:p>
        </w:tc>
        <w:tc>
          <w:tcPr>
            <w:tcW w:w="3586" w:type="pct"/>
            <w:noWrap w:val="0"/>
            <w:vAlign w:val="center"/>
          </w:tcPr>
          <w:p w14:paraId="64F19AC7">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val="0"/>
                <w:color w:val="auto"/>
                <w:sz w:val="24"/>
                <w:szCs w:val="24"/>
                <w:highlight w:val="none"/>
              </w:rPr>
              <w:t>售后服务方案</w:t>
            </w:r>
            <w:r>
              <w:rPr>
                <w:rFonts w:hint="eastAsia" w:ascii="仿宋_GB2312" w:hAnsi="仿宋_GB2312" w:eastAsia="仿宋_GB2312" w:cs="仿宋_GB2312"/>
                <w:color w:val="auto"/>
                <w:sz w:val="24"/>
                <w:szCs w:val="24"/>
                <w:highlight w:val="none"/>
              </w:rPr>
              <w:t>主要包含以下方面：</w:t>
            </w:r>
          </w:p>
          <w:p w14:paraId="53C20BF0">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1、售后服务内容（</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分）：服务内容应覆盖产品全生命周期，包含远程或现场技术支持、系统维护、版本升级等核心服务条款。</w:t>
            </w:r>
          </w:p>
          <w:p w14:paraId="5A72627A">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2、售后服务方式（</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分）：提供7×24小时在线支持、电话咨询等多元化远程服务渠道，确保及时响应。</w:t>
            </w:r>
          </w:p>
          <w:p w14:paraId="1E662165">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培训方案（2分）提供完整的培训计划，包括开发技术培训、用户操作培训和系统管理维护培训，使需求方能达到独立自主运维能力，相关知识全面转移</w:t>
            </w:r>
            <w:r>
              <w:rPr>
                <w:rFonts w:hint="eastAsia" w:ascii="仿宋_GB2312" w:hAnsi="仿宋_GB2312" w:eastAsia="仿宋_GB2312" w:cs="仿宋_GB2312"/>
                <w:color w:val="auto"/>
                <w:sz w:val="24"/>
                <w:szCs w:val="24"/>
                <w:highlight w:val="none"/>
                <w:lang w:eastAsia="zh-CN"/>
              </w:rPr>
              <w:t>。</w:t>
            </w:r>
          </w:p>
          <w:p w14:paraId="1C8A0D68">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4、售后服务标准（</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分）：明确量化服务指标，包括响应时效、问题解决率等关键绩效标准。</w:t>
            </w:r>
          </w:p>
          <w:p w14:paraId="09F00DB4">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p>
          <w:p w14:paraId="153772E1">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（1）方案涵盖上述所有内容且方案内容符合或优于需求条件的得</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w:t>
            </w:r>
          </w:p>
          <w:p w14:paraId="634B84AD">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方案内容存在一处缺陷（内容缺陷是指：内容不符合采购需求或不适用项目特性的情形、内容不完整或缺少关键节点、套用其他项目方案、内容前后矛盾、涉及的规范及标准错误、不利于项目实施、不可能实现的情形等任意一种情形）相应项扣</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p>
          <w:p w14:paraId="0CAF053A">
            <w:pPr>
              <w:spacing w:line="240" w:lineRule="auto"/>
              <w:ind w:firstLine="0" w:firstLine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3）方案提出超出以上的优质服务项目，每项可酌情增加1至2分，最高不超过4分。</w:t>
            </w:r>
          </w:p>
          <w:p w14:paraId="54FD146A">
            <w:pPr>
              <w:spacing w:line="240" w:lineRule="auto"/>
              <w:ind w:firstLine="0" w:firstLineChars="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）不提供</w:t>
            </w:r>
            <w:r>
              <w:rPr>
                <w:rFonts w:hint="eastAsia" w:ascii="仿宋_GB2312" w:hAnsi="仿宋_GB2312" w:eastAsia="仿宋_GB2312" w:cs="仿宋_GB2312"/>
                <w:color w:val="auto"/>
                <w:sz w:val="24"/>
                <w:szCs w:val="24"/>
                <w:highlight w:val="none"/>
                <w:lang w:val="en-US" w:eastAsia="zh-CN"/>
              </w:rPr>
              <w:t>售后服务</w:t>
            </w:r>
            <w:r>
              <w:rPr>
                <w:rFonts w:hint="eastAsia" w:ascii="仿宋_GB2312" w:hAnsi="仿宋_GB2312" w:eastAsia="仿宋_GB2312" w:cs="仿宋_GB2312"/>
                <w:color w:val="auto"/>
                <w:sz w:val="24"/>
                <w:szCs w:val="24"/>
                <w:highlight w:val="none"/>
              </w:rPr>
              <w:t>方案的，</w:t>
            </w:r>
            <w:r>
              <w:rPr>
                <w:rFonts w:hint="eastAsia" w:ascii="仿宋_GB2312" w:hAnsi="仿宋_GB2312" w:eastAsia="仿宋_GB2312" w:cs="仿宋_GB2312"/>
                <w:color w:val="auto"/>
                <w:sz w:val="24"/>
                <w:szCs w:val="24"/>
                <w:highlight w:val="none"/>
                <w:lang w:val="en-US" w:eastAsia="zh-CN"/>
              </w:rPr>
              <w:t>不得分且</w:t>
            </w:r>
            <w:r>
              <w:rPr>
                <w:rFonts w:hint="eastAsia" w:ascii="仿宋_GB2312" w:hAnsi="仿宋_GB2312" w:eastAsia="仿宋_GB2312" w:cs="仿宋_GB2312"/>
                <w:b w:val="0"/>
                <w:bCs w:val="0"/>
                <w:color w:val="auto"/>
                <w:sz w:val="24"/>
                <w:szCs w:val="24"/>
                <w:highlight w:val="none"/>
                <w:lang w:val="en-US" w:eastAsia="zh-CN"/>
              </w:rPr>
              <w:t>扣减8分</w:t>
            </w:r>
            <w:r>
              <w:rPr>
                <w:rFonts w:hint="eastAsia" w:ascii="仿宋_GB2312" w:hAnsi="仿宋_GB2312" w:eastAsia="仿宋_GB2312" w:cs="仿宋_GB2312"/>
                <w:color w:val="auto"/>
                <w:sz w:val="24"/>
                <w:szCs w:val="24"/>
                <w:highlight w:val="none"/>
              </w:rPr>
              <w:t>。</w:t>
            </w:r>
          </w:p>
        </w:tc>
        <w:tc>
          <w:tcPr>
            <w:tcW w:w="465" w:type="pct"/>
            <w:noWrap w:val="0"/>
            <w:vAlign w:val="center"/>
          </w:tcPr>
          <w:p w14:paraId="7329CF00">
            <w:pPr>
              <w:spacing w:before="0" w:after="0" w:line="28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r>
      <w:tr w14:paraId="3E9D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309" w:type="pct"/>
            <w:noWrap w:val="0"/>
            <w:vAlign w:val="center"/>
          </w:tcPr>
          <w:p w14:paraId="0D447DC7">
            <w:pPr>
              <w:spacing w:before="0" w:after="0" w:line="28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638" w:type="pct"/>
            <w:noWrap w:val="0"/>
            <w:vAlign w:val="center"/>
          </w:tcPr>
          <w:p w14:paraId="4847DE9A">
            <w:pPr>
              <w:spacing w:line="280" w:lineRule="exact"/>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报价得分</w:t>
            </w:r>
          </w:p>
        </w:tc>
        <w:tc>
          <w:tcPr>
            <w:tcW w:w="3586" w:type="pct"/>
            <w:noWrap w:val="0"/>
            <w:vAlign w:val="center"/>
          </w:tcPr>
          <w:p w14:paraId="74097F71">
            <w:pPr>
              <w:jc w:val="both"/>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1、评选基准价：一次平均所有参选人的有效参选价算术平均值即为基准价（如果参与评标价平均值计算的有效参选人超过5家（不含）时，去掉1个最高值和1个最低值后取平均）。</w:t>
            </w:r>
          </w:p>
          <w:p w14:paraId="4FFE5355">
            <w:pPr>
              <w:jc w:val="both"/>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2、偏差率计算：(参选人报价－评选基准价)/评选基准价×100% 计算后保留 2位小数。</w:t>
            </w:r>
          </w:p>
          <w:p w14:paraId="31F41719">
            <w:pPr>
              <w:spacing w:line="240" w:lineRule="auto"/>
              <w:jc w:val="both"/>
              <w:rPr>
                <w:rFonts w:hint="eastAsia"/>
                <w:highlight w:val="none"/>
                <w:lang w:val="zh-CN" w:eastAsia="zh-TW"/>
              </w:rPr>
            </w:pPr>
            <w:r>
              <w:rPr>
                <w:rFonts w:hint="eastAsia" w:ascii="仿宋_GB2312" w:hAnsi="仿宋_GB2312" w:eastAsia="仿宋_GB2312" w:cs="仿宋_GB2312"/>
                <w:color w:val="auto"/>
                <w:kern w:val="2"/>
                <w:sz w:val="24"/>
                <w:szCs w:val="24"/>
                <w:highlight w:val="none"/>
              </w:rPr>
              <w:t>3、如果参选报价大于评选基准价，则参选报价得分＝30－偏差率×100×0.2；</w:t>
            </w:r>
            <w:r>
              <w:rPr>
                <w:rFonts w:hint="eastAsia" w:ascii="仿宋_GB2312" w:hAnsi="仿宋_GB2312" w:eastAsia="仿宋_GB2312" w:cs="仿宋_GB2312"/>
                <w:color w:val="auto"/>
                <w:kern w:val="2"/>
                <w:sz w:val="24"/>
                <w:szCs w:val="24"/>
                <w:highlight w:val="none"/>
                <w:lang w:val="en-US" w:eastAsia="zh-CN"/>
              </w:rPr>
              <w:t xml:space="preserve"> </w:t>
            </w:r>
            <w:r>
              <w:rPr>
                <w:rFonts w:hint="eastAsia" w:ascii="仿宋_GB2312" w:hAnsi="仿宋_GB2312" w:eastAsia="仿宋_GB2312" w:cs="仿宋_GB2312"/>
                <w:color w:val="auto"/>
                <w:kern w:val="2"/>
                <w:sz w:val="24"/>
                <w:szCs w:val="24"/>
                <w:highlight w:val="none"/>
              </w:rPr>
              <w:t>如果参选报价小于等于评选基准价，则参选报价得分＝ 10+偏差率×100×0.1；</w:t>
            </w:r>
            <w:r>
              <w:rPr>
                <w:rFonts w:hint="eastAsia" w:ascii="仿宋_GB2312" w:hAnsi="仿宋_GB2312" w:eastAsia="仿宋_GB2312" w:cs="仿宋_GB2312"/>
                <w:color w:val="auto"/>
                <w:kern w:val="2"/>
                <w:sz w:val="24"/>
                <w:szCs w:val="24"/>
                <w:highlight w:val="none"/>
                <w:lang w:val="en-US" w:eastAsia="zh-CN"/>
              </w:rPr>
              <w:t xml:space="preserve"> </w:t>
            </w:r>
            <w:r>
              <w:rPr>
                <w:rFonts w:hint="eastAsia" w:ascii="仿宋_GB2312" w:hAnsi="仿宋_GB2312" w:eastAsia="仿宋_GB2312" w:cs="仿宋_GB2312"/>
                <w:color w:val="auto"/>
                <w:kern w:val="2"/>
                <w:sz w:val="24"/>
                <w:szCs w:val="24"/>
                <w:highlight w:val="none"/>
              </w:rPr>
              <w:t>参选报价得分精确到2位小数（四舍五入），最低得分为 0 分。</w:t>
            </w:r>
          </w:p>
        </w:tc>
        <w:tc>
          <w:tcPr>
            <w:tcW w:w="465" w:type="pct"/>
            <w:noWrap w:val="0"/>
            <w:vAlign w:val="center"/>
          </w:tcPr>
          <w:p w14:paraId="0C541058">
            <w:pPr>
              <w:spacing w:before="0" w:after="0" w:line="280" w:lineRule="exact"/>
              <w:ind w:firstLine="0" w:firstLineChars="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30分</w:t>
            </w:r>
          </w:p>
        </w:tc>
      </w:tr>
    </w:tbl>
    <w:p w14:paraId="770D871F">
      <w:pPr>
        <w:rPr>
          <w:rFonts w:hint="eastAsia"/>
          <w:color w:val="auto"/>
        </w:rPr>
        <w:sectPr>
          <w:pgSz w:w="11905" w:h="16838"/>
          <w:pgMar w:top="1984" w:right="1871" w:bottom="1984" w:left="1871" w:header="851" w:footer="850" w:gutter="0"/>
          <w:pgNumType w:fmt="chineseCounting"/>
          <w:cols w:space="720" w:num="1"/>
          <w:docGrid w:linePitch="312" w:charSpace="0"/>
        </w:sectPr>
      </w:pPr>
    </w:p>
    <w:p w14:paraId="53D4E1BB">
      <w:pPr>
        <w:pStyle w:val="2"/>
        <w:widowControl w:val="0"/>
        <w:snapToGrid w:val="0"/>
        <w:spacing w:before="0" w:after="0" w:line="576" w:lineRule="exact"/>
        <w:ind w:firstLine="600" w:firstLineChars="200"/>
        <w:jc w:val="center"/>
        <w:rPr>
          <w:rFonts w:hint="default" w:ascii="黑体" w:hAnsi="黑体" w:eastAsia="黑体" w:cs="黑体"/>
          <w:b w:val="0"/>
          <w:color w:val="000000"/>
          <w:sz w:val="30"/>
          <w:szCs w:val="30"/>
        </w:rPr>
      </w:pPr>
      <w:r>
        <w:rPr>
          <w:rFonts w:hint="default" w:ascii="黑体" w:hAnsi="黑体" w:eastAsia="黑体" w:cs="黑体"/>
          <w:b w:val="0"/>
          <w:color w:val="000000"/>
          <w:sz w:val="30"/>
          <w:szCs w:val="30"/>
        </w:rPr>
        <w:t>资格审查表</w:t>
      </w:r>
    </w:p>
    <w:p w14:paraId="4576EF88">
      <w:pPr>
        <w:pStyle w:val="2"/>
        <w:widowControl w:val="0"/>
        <w:snapToGrid w:val="0"/>
        <w:spacing w:before="0" w:after="0" w:line="576" w:lineRule="exact"/>
        <w:ind w:firstLine="560" w:firstLineChars="200"/>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项目名称：</w:t>
      </w:r>
    </w:p>
    <w:tbl>
      <w:tblPr>
        <w:tblStyle w:val="23"/>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53"/>
        <w:gridCol w:w="804"/>
        <w:gridCol w:w="7468"/>
        <w:gridCol w:w="961"/>
        <w:gridCol w:w="925"/>
        <w:gridCol w:w="902"/>
        <w:gridCol w:w="864"/>
      </w:tblGrid>
      <w:tr w14:paraId="43DD7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blHeader/>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2D1744BF">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类别</w:t>
            </w:r>
          </w:p>
        </w:tc>
        <w:tc>
          <w:tcPr>
            <w:tcW w:w="312" w:type="pct"/>
            <w:tcBorders>
              <w:top w:val="single" w:color="auto" w:sz="4" w:space="0"/>
              <w:left w:val="single" w:color="auto" w:sz="4" w:space="0"/>
              <w:bottom w:val="single" w:color="auto" w:sz="4" w:space="0"/>
              <w:right w:val="single" w:color="auto" w:sz="4" w:space="0"/>
            </w:tcBorders>
            <w:noWrap w:val="0"/>
            <w:vAlign w:val="center"/>
          </w:tcPr>
          <w:p w14:paraId="554B47BD">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审查项目</w:t>
            </w:r>
          </w:p>
        </w:tc>
        <w:tc>
          <w:tcPr>
            <w:tcW w:w="2897" w:type="pct"/>
            <w:tcBorders>
              <w:top w:val="single" w:color="auto" w:sz="4" w:space="0"/>
              <w:left w:val="single" w:color="auto" w:sz="4" w:space="0"/>
              <w:bottom w:val="single" w:color="auto" w:sz="4" w:space="0"/>
              <w:right w:val="single" w:color="auto" w:sz="4" w:space="0"/>
            </w:tcBorders>
            <w:noWrap w:val="0"/>
            <w:vAlign w:val="center"/>
          </w:tcPr>
          <w:p w14:paraId="0D254103">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评议内容（无效参选认定条件）</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346E811A">
            <w:pPr>
              <w:shd w:val="clear" w:color="auto" w:fill="auto"/>
              <w:snapToGrid/>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供应商1</w:t>
            </w:r>
          </w:p>
        </w:tc>
        <w:tc>
          <w:tcPr>
            <w:tcW w:w="359" w:type="pct"/>
            <w:tcBorders>
              <w:top w:val="single" w:color="auto" w:sz="4" w:space="0"/>
              <w:left w:val="single" w:color="auto" w:sz="4" w:space="0"/>
              <w:bottom w:val="single" w:color="auto" w:sz="4" w:space="0"/>
              <w:right w:val="single" w:color="auto" w:sz="4" w:space="0"/>
            </w:tcBorders>
            <w:noWrap w:val="0"/>
            <w:vAlign w:val="center"/>
          </w:tcPr>
          <w:p w14:paraId="5229D9FC">
            <w:pPr>
              <w:shd w:val="clear" w:color="auto" w:fill="auto"/>
              <w:snapToGrid/>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供应商2</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091E0FCF">
            <w:pPr>
              <w:shd w:val="clear" w:color="auto" w:fill="auto"/>
              <w:snapToGrid/>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供应商3</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6DC588DC">
            <w:pPr>
              <w:shd w:val="clear" w:color="auto" w:fill="auto"/>
              <w:snapToGrid/>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待续</w:t>
            </w:r>
          </w:p>
          <w:p w14:paraId="482F3C46">
            <w:pPr>
              <w:shd w:val="clear" w:color="auto" w:fill="auto"/>
              <w:snapToGrid/>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w:t>
            </w:r>
          </w:p>
        </w:tc>
      </w:tr>
      <w:tr w14:paraId="25A5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restart"/>
            <w:tcBorders>
              <w:top w:val="single" w:color="auto" w:sz="4" w:space="0"/>
              <w:left w:val="single" w:color="auto" w:sz="4" w:space="0"/>
              <w:right w:val="single" w:color="auto" w:sz="4" w:space="0"/>
            </w:tcBorders>
            <w:noWrap w:val="0"/>
            <w:vAlign w:val="center"/>
          </w:tcPr>
          <w:p w14:paraId="1E95EB3B">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资格性审查</w:t>
            </w:r>
          </w:p>
        </w:tc>
        <w:tc>
          <w:tcPr>
            <w:tcW w:w="312" w:type="pct"/>
            <w:vMerge w:val="restart"/>
            <w:tcBorders>
              <w:top w:val="single" w:color="auto" w:sz="4" w:space="0"/>
              <w:left w:val="single" w:color="auto" w:sz="4" w:space="0"/>
              <w:right w:val="single" w:color="auto" w:sz="4" w:space="0"/>
            </w:tcBorders>
            <w:noWrap w:val="0"/>
            <w:vAlign w:val="center"/>
          </w:tcPr>
          <w:p w14:paraId="006B86C0">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供应商的</w:t>
            </w:r>
          </w:p>
          <w:p w14:paraId="2DA4825C">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资格</w:t>
            </w:r>
          </w:p>
        </w:tc>
        <w:tc>
          <w:tcPr>
            <w:tcW w:w="2897" w:type="pct"/>
            <w:tcBorders>
              <w:top w:val="single" w:color="auto" w:sz="4" w:space="0"/>
              <w:left w:val="single" w:color="auto" w:sz="4" w:space="0"/>
              <w:bottom w:val="single" w:color="auto" w:sz="4" w:space="0"/>
              <w:right w:val="single" w:color="auto" w:sz="4" w:space="0"/>
            </w:tcBorders>
            <w:noWrap w:val="0"/>
            <w:vAlign w:val="center"/>
          </w:tcPr>
          <w:p w14:paraId="2CCC24EB">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在中华人民共和国注册，具有独立承担民事责任能力的法人（提供企业有效的营业执照副本复印件加盖公章）</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004A3D84">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0512DFD4">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15FF8733">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1804C419">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4538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continue"/>
            <w:tcBorders>
              <w:left w:val="single" w:color="auto" w:sz="4" w:space="0"/>
              <w:right w:val="single" w:color="auto" w:sz="4" w:space="0"/>
            </w:tcBorders>
            <w:noWrap w:val="0"/>
            <w:vAlign w:val="center"/>
          </w:tcPr>
          <w:p w14:paraId="4A34D5CB">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12" w:type="pct"/>
            <w:vMerge w:val="continue"/>
            <w:tcBorders>
              <w:left w:val="single" w:color="auto" w:sz="4" w:space="0"/>
              <w:right w:val="single" w:color="auto" w:sz="4" w:space="0"/>
            </w:tcBorders>
            <w:noWrap w:val="0"/>
            <w:vAlign w:val="center"/>
          </w:tcPr>
          <w:p w14:paraId="606C0EFA">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2897" w:type="pct"/>
            <w:tcBorders>
              <w:top w:val="single" w:color="auto" w:sz="4" w:space="0"/>
              <w:left w:val="single" w:color="auto" w:sz="4" w:space="0"/>
              <w:bottom w:val="single" w:color="auto" w:sz="4" w:space="0"/>
              <w:right w:val="single" w:color="auto" w:sz="4" w:space="0"/>
            </w:tcBorders>
            <w:noWrap w:val="0"/>
            <w:vAlign w:val="center"/>
          </w:tcPr>
          <w:p w14:paraId="18841B63">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按</w:t>
            </w:r>
            <w:r>
              <w:rPr>
                <w:rFonts w:hint="eastAsia" w:ascii="仿宋_GB2312" w:hAnsi="仿宋_GB2312" w:eastAsia="仿宋_GB2312" w:cs="仿宋_GB2312"/>
                <w:b w:val="0"/>
                <w:bCs w:val="0"/>
                <w:color w:val="auto"/>
                <w:sz w:val="24"/>
                <w:szCs w:val="24"/>
                <w:lang w:val="en-US" w:eastAsia="en-US"/>
              </w:rPr>
              <w:t>谈判</w:t>
            </w:r>
            <w:r>
              <w:rPr>
                <w:rFonts w:hint="eastAsia" w:ascii="仿宋_GB2312" w:hAnsi="仿宋_GB2312" w:eastAsia="仿宋_GB2312" w:cs="仿宋_GB2312"/>
                <w:b w:val="0"/>
                <w:bCs w:val="0"/>
                <w:color w:val="auto"/>
                <w:sz w:val="24"/>
                <w:szCs w:val="24"/>
                <w:lang w:eastAsia="en-US"/>
              </w:rPr>
              <w:t>文件资格要求提供财务审计报告或财务报表</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078F46E3">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03C1F7A2">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4592B5B5">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28D6FE8B">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61304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continue"/>
            <w:tcBorders>
              <w:left w:val="single" w:color="auto" w:sz="4" w:space="0"/>
              <w:right w:val="single" w:color="auto" w:sz="4" w:space="0"/>
            </w:tcBorders>
            <w:noWrap w:val="0"/>
            <w:vAlign w:val="center"/>
          </w:tcPr>
          <w:p w14:paraId="1ABC5AE3">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12" w:type="pct"/>
            <w:vMerge w:val="continue"/>
            <w:tcBorders>
              <w:left w:val="single" w:color="auto" w:sz="4" w:space="0"/>
              <w:right w:val="single" w:color="auto" w:sz="4" w:space="0"/>
            </w:tcBorders>
            <w:noWrap w:val="0"/>
            <w:vAlign w:val="center"/>
          </w:tcPr>
          <w:p w14:paraId="2A4CDDE6">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2897" w:type="pct"/>
            <w:tcBorders>
              <w:top w:val="single" w:color="auto" w:sz="4" w:space="0"/>
              <w:left w:val="single" w:color="auto" w:sz="4" w:space="0"/>
              <w:bottom w:val="single" w:color="auto" w:sz="4" w:space="0"/>
              <w:right w:val="single" w:color="auto" w:sz="4" w:space="0"/>
            </w:tcBorders>
            <w:noWrap w:val="0"/>
            <w:vAlign w:val="center"/>
          </w:tcPr>
          <w:p w14:paraId="20C99B3E">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按</w:t>
            </w:r>
            <w:r>
              <w:rPr>
                <w:rFonts w:hint="eastAsia" w:ascii="仿宋_GB2312" w:hAnsi="仿宋_GB2312" w:eastAsia="仿宋_GB2312" w:cs="仿宋_GB2312"/>
                <w:b w:val="0"/>
                <w:bCs w:val="0"/>
                <w:color w:val="auto"/>
                <w:sz w:val="24"/>
                <w:szCs w:val="24"/>
                <w:lang w:val="en-US" w:eastAsia="en-US"/>
              </w:rPr>
              <w:t>谈判</w:t>
            </w:r>
            <w:r>
              <w:rPr>
                <w:rFonts w:hint="eastAsia" w:ascii="仿宋_GB2312" w:hAnsi="仿宋_GB2312" w:eastAsia="仿宋_GB2312" w:cs="仿宋_GB2312"/>
                <w:b w:val="0"/>
                <w:bCs w:val="0"/>
                <w:color w:val="auto"/>
                <w:sz w:val="24"/>
                <w:szCs w:val="24"/>
                <w:lang w:eastAsia="en-US"/>
              </w:rPr>
              <w:t>文件资格要求提供社会保障资金缴纳证明和依法缴纳税收的证明</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0CEB057C">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79B96102">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6A401F04">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07FE358C">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354BF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continue"/>
            <w:tcBorders>
              <w:left w:val="single" w:color="auto" w:sz="4" w:space="0"/>
              <w:right w:val="single" w:color="auto" w:sz="4" w:space="0"/>
            </w:tcBorders>
            <w:noWrap w:val="0"/>
            <w:vAlign w:val="center"/>
          </w:tcPr>
          <w:p w14:paraId="2AFCA0F6">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12" w:type="pct"/>
            <w:vMerge w:val="continue"/>
            <w:tcBorders>
              <w:left w:val="single" w:color="auto" w:sz="4" w:space="0"/>
              <w:right w:val="single" w:color="auto" w:sz="4" w:space="0"/>
            </w:tcBorders>
            <w:noWrap w:val="0"/>
            <w:vAlign w:val="center"/>
          </w:tcPr>
          <w:p w14:paraId="7D5C4800">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2897" w:type="pct"/>
            <w:tcBorders>
              <w:top w:val="single" w:color="auto" w:sz="4" w:space="0"/>
              <w:left w:val="single" w:color="auto" w:sz="4" w:space="0"/>
              <w:bottom w:val="single" w:color="auto" w:sz="4" w:space="0"/>
              <w:right w:val="single" w:color="auto" w:sz="4" w:space="0"/>
            </w:tcBorders>
            <w:noWrap w:val="0"/>
            <w:vAlign w:val="center"/>
          </w:tcPr>
          <w:p w14:paraId="060F1EBF">
            <w:pPr>
              <w:shd w:val="clear" w:color="auto" w:fill="auto"/>
              <w:spacing w:line="280" w:lineRule="exact"/>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具有履行合同所必需的设备和专业技术能力（提供合同履约能力承诺书）</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5216AD45">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2B7AF956">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1A6E5B2F">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06E1689E">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6F97B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continue"/>
            <w:tcBorders>
              <w:left w:val="single" w:color="auto" w:sz="4" w:space="0"/>
              <w:right w:val="single" w:color="auto" w:sz="4" w:space="0"/>
            </w:tcBorders>
            <w:noWrap w:val="0"/>
            <w:vAlign w:val="center"/>
          </w:tcPr>
          <w:p w14:paraId="3F956CE9">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12" w:type="pct"/>
            <w:vMerge w:val="continue"/>
            <w:tcBorders>
              <w:left w:val="single" w:color="auto" w:sz="4" w:space="0"/>
              <w:right w:val="single" w:color="auto" w:sz="4" w:space="0"/>
            </w:tcBorders>
            <w:noWrap w:val="0"/>
            <w:vAlign w:val="center"/>
          </w:tcPr>
          <w:p w14:paraId="06213AC1">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2897" w:type="pct"/>
            <w:tcBorders>
              <w:top w:val="single" w:color="auto" w:sz="4" w:space="0"/>
              <w:left w:val="single" w:color="auto" w:sz="4" w:space="0"/>
              <w:bottom w:val="single" w:color="auto" w:sz="4" w:space="0"/>
              <w:right w:val="single" w:color="auto" w:sz="4" w:space="0"/>
            </w:tcBorders>
            <w:noWrap w:val="0"/>
            <w:vAlign w:val="center"/>
          </w:tcPr>
          <w:p w14:paraId="19D1FDC6">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参加本次采购近三年内（成立不足三年的从成立之日起算），在经营活动中没有重大违法记录（提供无重大违法记录的声明）</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481B23FE">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7115950F">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4870D329">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6097AA84">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21381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continue"/>
            <w:tcBorders>
              <w:left w:val="single" w:color="auto" w:sz="4" w:space="0"/>
              <w:right w:val="single" w:color="auto" w:sz="4" w:space="0"/>
            </w:tcBorders>
            <w:noWrap w:val="0"/>
            <w:vAlign w:val="center"/>
          </w:tcPr>
          <w:p w14:paraId="61254EF3">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12" w:type="pct"/>
            <w:vMerge w:val="continue"/>
            <w:tcBorders>
              <w:left w:val="single" w:color="auto" w:sz="4" w:space="0"/>
              <w:right w:val="single" w:color="auto" w:sz="4" w:space="0"/>
            </w:tcBorders>
            <w:noWrap w:val="0"/>
            <w:vAlign w:val="center"/>
          </w:tcPr>
          <w:p w14:paraId="065A436E">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2897" w:type="pct"/>
            <w:tcBorders>
              <w:top w:val="single" w:color="auto" w:sz="4" w:space="0"/>
              <w:left w:val="single" w:color="auto" w:sz="4" w:space="0"/>
              <w:bottom w:val="single" w:color="auto" w:sz="4" w:space="0"/>
              <w:right w:val="single" w:color="auto" w:sz="4" w:space="0"/>
            </w:tcBorders>
            <w:noWrap w:val="0"/>
            <w:vAlign w:val="center"/>
          </w:tcPr>
          <w:p w14:paraId="2B5EBE4E">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必须为未被列入信用中国（www.creditchina.gov.cn)“重大税收违法案件当事人名单”“政府采购严重违法失信名单”及未被列入中国执行信息公开网（zxgk.court.gov.cn/shixin/）“失信被执行人”、中国政府采购网（www.ccgp.gov.cn)“政府采购严重违法失信行为记录名单”的供应商（提供网站截图并附带公告发出日期之后的水印记录）</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198476E8">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01A88CDB">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147B60BD">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15744E1A">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1B0FF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continue"/>
            <w:tcBorders>
              <w:left w:val="single" w:color="auto" w:sz="4" w:space="0"/>
              <w:right w:val="single" w:color="auto" w:sz="4" w:space="0"/>
            </w:tcBorders>
            <w:noWrap w:val="0"/>
            <w:vAlign w:val="center"/>
          </w:tcPr>
          <w:p w14:paraId="12BACC86">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12" w:type="pct"/>
            <w:vMerge w:val="continue"/>
            <w:tcBorders>
              <w:left w:val="single" w:color="auto" w:sz="4" w:space="0"/>
              <w:right w:val="single" w:color="auto" w:sz="4" w:space="0"/>
            </w:tcBorders>
            <w:noWrap w:val="0"/>
            <w:vAlign w:val="center"/>
          </w:tcPr>
          <w:p w14:paraId="0415885D">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2897" w:type="pct"/>
            <w:tcBorders>
              <w:top w:val="single" w:color="auto" w:sz="4" w:space="0"/>
              <w:left w:val="single" w:color="auto" w:sz="4" w:space="0"/>
              <w:bottom w:val="single" w:color="auto" w:sz="4" w:space="0"/>
              <w:right w:val="single" w:color="auto" w:sz="4" w:space="0"/>
            </w:tcBorders>
            <w:noWrap w:val="0"/>
            <w:vAlign w:val="center"/>
          </w:tcPr>
          <w:p w14:paraId="78A4EC33">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谈判保证金相关证明材料</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04627A88">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11F0EA72">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7B9D6658">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70BA1D31">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55F11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70" w:type="pct"/>
            <w:vMerge w:val="continue"/>
            <w:tcBorders>
              <w:left w:val="single" w:color="auto" w:sz="4" w:space="0"/>
              <w:right w:val="single" w:color="auto" w:sz="4" w:space="0"/>
            </w:tcBorders>
            <w:noWrap w:val="0"/>
            <w:vAlign w:val="center"/>
          </w:tcPr>
          <w:p w14:paraId="652FC0B6">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12" w:type="pct"/>
            <w:vMerge w:val="continue"/>
            <w:tcBorders>
              <w:left w:val="single" w:color="auto" w:sz="4" w:space="0"/>
              <w:right w:val="single" w:color="auto" w:sz="4" w:space="0"/>
            </w:tcBorders>
            <w:noWrap w:val="0"/>
            <w:vAlign w:val="center"/>
          </w:tcPr>
          <w:p w14:paraId="63B7EC8E">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2897" w:type="pct"/>
            <w:tcBorders>
              <w:top w:val="single" w:color="auto" w:sz="4" w:space="0"/>
              <w:left w:val="single" w:color="auto" w:sz="4" w:space="0"/>
              <w:bottom w:val="single" w:color="auto" w:sz="4" w:space="0"/>
              <w:right w:val="single" w:color="auto" w:sz="4" w:space="0"/>
            </w:tcBorders>
            <w:noWrap w:val="0"/>
            <w:vAlign w:val="center"/>
          </w:tcPr>
          <w:p w14:paraId="294D3548">
            <w:pPr>
              <w:shd w:val="clear" w:color="auto" w:fill="auto"/>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采购联合体组成的合规性</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47033FC4">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2520178B">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49BB71F8">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2CE58DDD">
            <w:pPr>
              <w:shd w:val="clear" w:color="auto" w:fill="auto"/>
              <w:spacing w:line="280" w:lineRule="exact"/>
              <w:ind w:firstLine="0" w:firstLineChars="0"/>
              <w:jc w:val="center"/>
              <w:rPr>
                <w:rFonts w:hint="eastAsia" w:ascii="仿宋_GB2312" w:hAnsi="仿宋_GB2312" w:eastAsia="仿宋_GB2312" w:cs="仿宋_GB2312"/>
                <w:b w:val="0"/>
                <w:color w:val="auto"/>
                <w:sz w:val="28"/>
                <w:szCs w:val="28"/>
                <w:lang w:eastAsia="en-US"/>
              </w:rPr>
            </w:pPr>
          </w:p>
        </w:tc>
      </w:tr>
      <w:tr w14:paraId="0BBF4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580" w:type="pct"/>
            <w:gridSpan w:val="3"/>
            <w:tcBorders>
              <w:top w:val="single" w:color="auto" w:sz="4" w:space="0"/>
              <w:left w:val="single" w:color="auto" w:sz="4" w:space="0"/>
              <w:right w:val="single" w:color="auto" w:sz="4" w:space="0"/>
            </w:tcBorders>
            <w:noWrap w:val="0"/>
            <w:vAlign w:val="center"/>
          </w:tcPr>
          <w:p w14:paraId="158C3A0C">
            <w:pPr>
              <w:shd w:val="clear" w:color="auto" w:fill="FFFFFF"/>
              <w:spacing w:line="28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en-US"/>
              </w:rPr>
              <w:t>审查意见</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04A32612">
            <w:pPr>
              <w:shd w:val="clear" w:color="auto" w:fill="FFFFFF"/>
              <w:spacing w:line="280" w:lineRule="exact"/>
              <w:ind w:firstLine="0" w:firstLineChars="0"/>
              <w:jc w:val="center"/>
              <w:rPr>
                <w:rFonts w:hint="eastAsia" w:ascii="仿宋_GB2312" w:hAnsi="仿宋_GB2312" w:eastAsia="仿宋_GB2312" w:cs="仿宋_GB2312"/>
                <w:b/>
                <w:color w:val="auto"/>
                <w:sz w:val="28"/>
                <w:szCs w:val="28"/>
              </w:rPr>
            </w:pPr>
          </w:p>
        </w:tc>
        <w:tc>
          <w:tcPr>
            <w:tcW w:w="359" w:type="pct"/>
            <w:tcBorders>
              <w:top w:val="single" w:color="auto" w:sz="4" w:space="0"/>
              <w:left w:val="single" w:color="auto" w:sz="4" w:space="0"/>
              <w:bottom w:val="single" w:color="auto" w:sz="4" w:space="0"/>
              <w:right w:val="single" w:color="auto" w:sz="4" w:space="0"/>
            </w:tcBorders>
            <w:noWrap w:val="0"/>
            <w:vAlign w:val="center"/>
          </w:tcPr>
          <w:p w14:paraId="7DFC2BF2">
            <w:pPr>
              <w:shd w:val="clear" w:color="auto" w:fill="FFFFFF"/>
              <w:spacing w:line="280" w:lineRule="exact"/>
              <w:ind w:firstLine="0" w:firstLineChars="0"/>
              <w:jc w:val="center"/>
              <w:rPr>
                <w:rFonts w:hint="eastAsia" w:ascii="仿宋_GB2312" w:hAnsi="仿宋_GB2312" w:eastAsia="仿宋_GB2312" w:cs="仿宋_GB2312"/>
                <w:b/>
                <w:color w:val="auto"/>
                <w:sz w:val="28"/>
                <w:szCs w:val="28"/>
              </w:rPr>
            </w:pPr>
          </w:p>
        </w:tc>
        <w:tc>
          <w:tcPr>
            <w:tcW w:w="350" w:type="pct"/>
            <w:tcBorders>
              <w:top w:val="single" w:color="auto" w:sz="4" w:space="0"/>
              <w:left w:val="single" w:color="auto" w:sz="4" w:space="0"/>
              <w:bottom w:val="single" w:color="auto" w:sz="4" w:space="0"/>
              <w:right w:val="single" w:color="auto" w:sz="4" w:space="0"/>
            </w:tcBorders>
            <w:noWrap w:val="0"/>
            <w:vAlign w:val="center"/>
          </w:tcPr>
          <w:p w14:paraId="027B7BBC">
            <w:pPr>
              <w:shd w:val="clear" w:color="auto" w:fill="FFFFFF"/>
              <w:spacing w:line="280" w:lineRule="exact"/>
              <w:ind w:firstLine="0" w:firstLineChars="0"/>
              <w:jc w:val="center"/>
              <w:rPr>
                <w:rFonts w:hint="eastAsia" w:ascii="仿宋_GB2312" w:hAnsi="仿宋_GB2312" w:eastAsia="仿宋_GB2312" w:cs="仿宋_GB2312"/>
                <w:b/>
                <w:color w:val="auto"/>
                <w:sz w:val="28"/>
                <w:szCs w:val="28"/>
              </w:rPr>
            </w:pPr>
          </w:p>
        </w:tc>
        <w:tc>
          <w:tcPr>
            <w:tcW w:w="335" w:type="pct"/>
            <w:tcBorders>
              <w:top w:val="single" w:color="auto" w:sz="4" w:space="0"/>
              <w:left w:val="single" w:color="auto" w:sz="4" w:space="0"/>
              <w:bottom w:val="single" w:color="auto" w:sz="4" w:space="0"/>
              <w:right w:val="single" w:color="auto" w:sz="4" w:space="0"/>
            </w:tcBorders>
            <w:noWrap w:val="0"/>
            <w:vAlign w:val="center"/>
          </w:tcPr>
          <w:p w14:paraId="08082FF6">
            <w:pPr>
              <w:shd w:val="clear" w:color="auto" w:fill="FFFFFF"/>
              <w:spacing w:line="280" w:lineRule="exact"/>
              <w:ind w:firstLine="0" w:firstLineChars="0"/>
              <w:jc w:val="center"/>
              <w:rPr>
                <w:rFonts w:hint="eastAsia" w:ascii="仿宋_GB2312" w:hAnsi="仿宋_GB2312" w:eastAsia="仿宋_GB2312" w:cs="仿宋_GB2312"/>
                <w:b/>
                <w:color w:val="auto"/>
                <w:sz w:val="28"/>
                <w:szCs w:val="28"/>
              </w:rPr>
            </w:pPr>
          </w:p>
        </w:tc>
      </w:tr>
    </w:tbl>
    <w:p w14:paraId="21F6F926">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1.表中只需填写“√/通过”或“×/不通过”。</w:t>
      </w:r>
    </w:p>
    <w:p w14:paraId="695227FF">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2.在结论中按“一项否决”的原则，只有全部是√/通过的，填写“合格”；只要其中有一项是×/不通过的，填写“不合格”。</w:t>
      </w:r>
    </w:p>
    <w:p w14:paraId="359E3933">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3.结论是合格的，才能进入下一轮；不合格的被淘汰。</w:t>
      </w:r>
    </w:p>
    <w:p w14:paraId="20E2A154">
      <w:pPr>
        <w:spacing w:line="460" w:lineRule="exact"/>
        <w:rPr>
          <w:rFonts w:hint="eastAsia" w:ascii="仿宋_GB2312" w:hAnsi="仿宋_GB2312" w:eastAsia="仿宋_GB2312" w:cs="仿宋_GB2312"/>
          <w:color w:val="auto"/>
          <w:sz w:val="28"/>
          <w:szCs w:val="28"/>
        </w:rPr>
      </w:pPr>
    </w:p>
    <w:p w14:paraId="37BC869C">
      <w:pPr>
        <w:spacing w:line="460" w:lineRule="exact"/>
        <w:rPr>
          <w:rFonts w:hint="eastAsia" w:ascii="仿宋_GB2312" w:hAnsi="仿宋_GB2312" w:eastAsia="仿宋_GB2312" w:cs="仿宋_GB2312"/>
          <w:color w:val="auto"/>
          <w:sz w:val="28"/>
          <w:szCs w:val="28"/>
        </w:rPr>
      </w:pPr>
    </w:p>
    <w:p w14:paraId="727B2CF3">
      <w:pPr>
        <w:spacing w:line="460" w:lineRule="exact"/>
        <w:rPr>
          <w:rFonts w:hint="eastAsia" w:ascii="仿宋_GB2312" w:hAnsi="仿宋_GB2312" w:eastAsia="仿宋_GB2312" w:cs="仿宋_GB2312"/>
          <w:color w:val="auto"/>
          <w:sz w:val="28"/>
          <w:szCs w:val="28"/>
        </w:rPr>
        <w:sectPr>
          <w:footerReference r:id="rId12" w:type="default"/>
          <w:pgSz w:w="16838" w:h="11905" w:orient="landscape"/>
          <w:pgMar w:top="1871" w:right="1984" w:bottom="1871" w:left="1984" w:header="851" w:footer="850" w:gutter="0"/>
          <w:pgNumType w:fmt="chineseCounting"/>
          <w:cols w:space="720" w:num="1"/>
          <w:docGrid w:linePitch="312" w:charSpace="0"/>
        </w:sectPr>
      </w:pPr>
      <w:r>
        <w:rPr>
          <w:rFonts w:hint="eastAsia" w:ascii="仿宋_GB2312" w:hAnsi="仿宋_GB2312" w:eastAsia="仿宋_GB2312" w:cs="仿宋_GB2312"/>
          <w:b/>
          <w:bCs/>
          <w:color w:val="auto"/>
          <w:sz w:val="28"/>
          <w:szCs w:val="28"/>
        </w:rPr>
        <w:t>谈判小组/资格性审查小组签字：</w:t>
      </w:r>
    </w:p>
    <w:p w14:paraId="6D4FD620">
      <w:pPr>
        <w:pStyle w:val="2"/>
        <w:widowControl w:val="0"/>
        <w:snapToGrid w:val="0"/>
        <w:spacing w:before="0" w:after="0" w:line="576" w:lineRule="exact"/>
        <w:ind w:left="0" w:firstLine="600" w:firstLineChars="200"/>
        <w:rPr>
          <w:rFonts w:hint="eastAsia" w:ascii="黑体" w:hAnsi="黑体" w:eastAsia="黑体" w:cs="黑体"/>
          <w:b w:val="0"/>
          <w:color w:val="000000"/>
          <w:sz w:val="30"/>
          <w:szCs w:val="30"/>
        </w:rPr>
      </w:pPr>
      <w:r>
        <w:rPr>
          <w:rFonts w:hint="default" w:ascii="黑体" w:hAnsi="黑体" w:eastAsia="黑体" w:cs="黑体"/>
          <w:b w:val="0"/>
          <w:color w:val="000000"/>
          <w:sz w:val="30"/>
          <w:szCs w:val="30"/>
        </w:rPr>
        <w:t>符合审查表</w:t>
      </w:r>
    </w:p>
    <w:p w14:paraId="7589040A">
      <w:pPr>
        <w:spacing w:line="576" w:lineRule="exact"/>
        <w:ind w:firstLine="560" w:firstLineChars="200"/>
        <w:jc w:val="both"/>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项目名称：</w:t>
      </w:r>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28" w:type="dxa"/>
          <w:left w:w="28" w:type="dxa"/>
          <w:bottom w:w="28" w:type="dxa"/>
          <w:right w:w="28" w:type="dxa"/>
        </w:tblCellMar>
      </w:tblPr>
      <w:tblGrid>
        <w:gridCol w:w="949"/>
        <w:gridCol w:w="2557"/>
        <w:gridCol w:w="3166"/>
        <w:gridCol w:w="937"/>
        <w:gridCol w:w="1042"/>
        <w:gridCol w:w="1080"/>
        <w:gridCol w:w="787"/>
      </w:tblGrid>
      <w:tr w14:paraId="76473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600" w:hRule="atLeast"/>
          <w:jc w:val="center"/>
        </w:trPr>
        <w:tc>
          <w:tcPr>
            <w:tcW w:w="451" w:type="pct"/>
            <w:tcBorders>
              <w:top w:val="single" w:color="auto" w:sz="4" w:space="0"/>
              <w:left w:val="single" w:color="auto" w:sz="4" w:space="0"/>
              <w:bottom w:val="single" w:color="auto" w:sz="4" w:space="0"/>
              <w:right w:val="single" w:color="auto" w:sz="4" w:space="0"/>
            </w:tcBorders>
            <w:noWrap w:val="0"/>
            <w:vAlign w:val="center"/>
          </w:tcPr>
          <w:p w14:paraId="3A5020B1">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类别</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79222FE1">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审查项目</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0E238B1B">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评议内容（无效响应认定条件）</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740EAB2D">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供应商1</w:t>
            </w:r>
          </w:p>
        </w:tc>
        <w:tc>
          <w:tcPr>
            <w:tcW w:w="495" w:type="pct"/>
            <w:tcBorders>
              <w:top w:val="single" w:color="auto" w:sz="4" w:space="0"/>
              <w:left w:val="single" w:color="auto" w:sz="4" w:space="0"/>
              <w:bottom w:val="single" w:color="auto" w:sz="4" w:space="0"/>
              <w:right w:val="single" w:color="auto" w:sz="4" w:space="0"/>
            </w:tcBorders>
            <w:noWrap w:val="0"/>
            <w:vAlign w:val="center"/>
          </w:tcPr>
          <w:p w14:paraId="006B189C">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供应商2</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7F8A49FB">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供应商3</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2A786741">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待续</w:t>
            </w:r>
          </w:p>
          <w:p w14:paraId="3F1BBFFB">
            <w:pPr>
              <w:shd w:val="clear" w:color="auto" w:fill="auto"/>
              <w:spacing w:line="280" w:lineRule="exact"/>
              <w:ind w:firstLine="0" w:firstLineChars="0"/>
              <w:jc w:val="center"/>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w:t>
            </w:r>
          </w:p>
        </w:tc>
      </w:tr>
      <w:tr w14:paraId="719CF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616" w:hRule="atLeast"/>
          <w:jc w:val="center"/>
        </w:trPr>
        <w:tc>
          <w:tcPr>
            <w:tcW w:w="451" w:type="pct"/>
            <w:vMerge w:val="restart"/>
            <w:tcBorders>
              <w:top w:val="single" w:color="auto" w:sz="4" w:space="0"/>
              <w:left w:val="single" w:color="auto" w:sz="4" w:space="0"/>
              <w:right w:val="single" w:color="auto" w:sz="4" w:space="0"/>
            </w:tcBorders>
            <w:noWrap w:val="0"/>
            <w:vAlign w:val="center"/>
          </w:tcPr>
          <w:p w14:paraId="4F44A066">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符合性审查</w:t>
            </w:r>
          </w:p>
        </w:tc>
        <w:tc>
          <w:tcPr>
            <w:tcW w:w="1215" w:type="pct"/>
            <w:tcBorders>
              <w:top w:val="single" w:color="auto" w:sz="4" w:space="0"/>
              <w:left w:val="single" w:color="auto" w:sz="4" w:space="0"/>
              <w:bottom w:val="single" w:color="auto" w:sz="4" w:space="0"/>
              <w:right w:val="single" w:color="auto" w:sz="4" w:space="0"/>
            </w:tcBorders>
            <w:noWrap w:val="0"/>
            <w:vAlign w:val="center"/>
          </w:tcPr>
          <w:p w14:paraId="0D029E33">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1申请人的资格</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33DF89EB">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是否符合文件的资格要求</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2A74058E">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4F1E9EB3">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3B90FF0F">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0D4B010C">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r w14:paraId="75D9A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645" w:hRule="atLeast"/>
          <w:jc w:val="center"/>
        </w:trPr>
        <w:tc>
          <w:tcPr>
            <w:tcW w:w="451" w:type="pct"/>
            <w:vMerge w:val="continue"/>
            <w:tcBorders>
              <w:left w:val="single" w:color="auto" w:sz="4" w:space="0"/>
              <w:right w:val="single" w:color="auto" w:sz="4" w:space="0"/>
            </w:tcBorders>
            <w:noWrap w:val="0"/>
            <w:vAlign w:val="center"/>
          </w:tcPr>
          <w:p w14:paraId="0911F0B7">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14:paraId="748F6D54">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2响应文件的有效性、完整性</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2883ACA2">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是否符合谈判文件的式样和签署要求且内容完整无缺漏</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0D4EF767">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00B5A2C6">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16CB44E0">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769F261C">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r w14:paraId="4F07F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827" w:hRule="atLeast"/>
          <w:jc w:val="center"/>
        </w:trPr>
        <w:tc>
          <w:tcPr>
            <w:tcW w:w="451" w:type="pct"/>
            <w:vMerge w:val="continue"/>
            <w:tcBorders>
              <w:left w:val="single" w:color="auto" w:sz="4" w:space="0"/>
              <w:right w:val="single" w:color="auto" w:sz="4" w:space="0"/>
            </w:tcBorders>
            <w:noWrap w:val="0"/>
            <w:vAlign w:val="center"/>
          </w:tcPr>
          <w:p w14:paraId="1FD4A2BF">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14:paraId="61AD6317">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3谈判有效期</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1D38DE97">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是否满足谈判文件要求</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60A3294D">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12B5D4E2">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3AE53EDF">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664F5A15">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r w14:paraId="3A4BD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827" w:hRule="atLeast"/>
          <w:jc w:val="center"/>
        </w:trPr>
        <w:tc>
          <w:tcPr>
            <w:tcW w:w="451" w:type="pct"/>
            <w:vMerge w:val="continue"/>
            <w:tcBorders>
              <w:left w:val="single" w:color="auto" w:sz="4" w:space="0"/>
              <w:right w:val="single" w:color="auto" w:sz="4" w:space="0"/>
            </w:tcBorders>
            <w:noWrap w:val="0"/>
            <w:vAlign w:val="center"/>
          </w:tcPr>
          <w:p w14:paraId="4B0DDBDB">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14:paraId="5D295E92">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4报价项目完整性</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195AC1FA">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是否对本项目内所有的内容进行响应，漏报其响应将被拒绝</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58B2C73F">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1B15D9B8">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7C0402D4">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003FB833">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r w14:paraId="266BF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827" w:hRule="atLeast"/>
          <w:jc w:val="center"/>
        </w:trPr>
        <w:tc>
          <w:tcPr>
            <w:tcW w:w="451" w:type="pct"/>
            <w:vMerge w:val="continue"/>
            <w:tcBorders>
              <w:left w:val="single" w:color="auto" w:sz="4" w:space="0"/>
              <w:right w:val="single" w:color="auto" w:sz="4" w:space="0"/>
            </w:tcBorders>
            <w:noWrap w:val="0"/>
            <w:vAlign w:val="center"/>
          </w:tcPr>
          <w:p w14:paraId="61D57D20">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14:paraId="61DF957C">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5响应报价</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1AD3EEC1">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响应价是否固定价且响应价是唯一的，且不超过最高限价或预算金额</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0A122BF1">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7337008B">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0C556FB8">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400FF98F">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r w14:paraId="07706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418" w:hRule="atLeast"/>
          <w:jc w:val="center"/>
        </w:trPr>
        <w:tc>
          <w:tcPr>
            <w:tcW w:w="451" w:type="pct"/>
            <w:vMerge w:val="continue"/>
            <w:tcBorders>
              <w:left w:val="single" w:color="auto" w:sz="4" w:space="0"/>
              <w:right w:val="single" w:color="auto" w:sz="4" w:space="0"/>
            </w:tcBorders>
            <w:noWrap w:val="0"/>
            <w:vAlign w:val="center"/>
          </w:tcPr>
          <w:p w14:paraId="16874157">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14:paraId="60438BC6">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6合同履行期限</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6FA5226D">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是否满足谈判文件要求</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0750077B">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0AF3C8AA">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31F5E34D">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20B38D3A">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r w14:paraId="682BE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418" w:hRule="atLeast"/>
          <w:jc w:val="center"/>
        </w:trPr>
        <w:tc>
          <w:tcPr>
            <w:tcW w:w="451" w:type="pct"/>
            <w:vMerge w:val="continue"/>
            <w:tcBorders>
              <w:left w:val="single" w:color="auto" w:sz="4" w:space="0"/>
              <w:bottom w:val="single" w:color="auto" w:sz="4" w:space="0"/>
              <w:right w:val="single" w:color="auto" w:sz="4" w:space="0"/>
            </w:tcBorders>
            <w:noWrap w:val="0"/>
            <w:vAlign w:val="center"/>
          </w:tcPr>
          <w:p w14:paraId="1233E82A">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14:paraId="6AD4F59F">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7其它</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775C7D67">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无其他无效响应认定条件</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1B6134AB">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1755F059">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000F271D">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6827951C">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r w14:paraId="55413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46" w:hRule="atLeast"/>
          <w:jc w:val="center"/>
        </w:trPr>
        <w:tc>
          <w:tcPr>
            <w:tcW w:w="3170" w:type="pct"/>
            <w:gridSpan w:val="3"/>
            <w:tcBorders>
              <w:top w:val="single" w:color="auto" w:sz="4" w:space="0"/>
              <w:left w:val="single" w:color="auto" w:sz="4" w:space="0"/>
              <w:bottom w:val="single" w:color="auto" w:sz="4" w:space="0"/>
              <w:right w:val="single" w:color="auto" w:sz="4" w:space="0"/>
            </w:tcBorders>
            <w:noWrap w:val="0"/>
            <w:vAlign w:val="center"/>
          </w:tcPr>
          <w:p w14:paraId="29EEA21C">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审查意见</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5F538F98">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495" w:type="pct"/>
            <w:tcBorders>
              <w:top w:val="single" w:color="auto" w:sz="4" w:space="0"/>
              <w:left w:val="single" w:color="auto" w:sz="4" w:space="0"/>
              <w:bottom w:val="single" w:color="auto" w:sz="4" w:space="0"/>
              <w:right w:val="single" w:color="auto" w:sz="4" w:space="0"/>
            </w:tcBorders>
            <w:noWrap w:val="0"/>
            <w:vAlign w:val="center"/>
          </w:tcPr>
          <w:p w14:paraId="0E2A098F">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5757B887">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c>
          <w:tcPr>
            <w:tcW w:w="374" w:type="pct"/>
            <w:tcBorders>
              <w:top w:val="single" w:color="auto" w:sz="4" w:space="0"/>
              <w:left w:val="single" w:color="auto" w:sz="4" w:space="0"/>
              <w:bottom w:val="single" w:color="auto" w:sz="4" w:space="0"/>
              <w:right w:val="single" w:color="auto" w:sz="4" w:space="0"/>
            </w:tcBorders>
            <w:noWrap w:val="0"/>
            <w:vAlign w:val="center"/>
          </w:tcPr>
          <w:p w14:paraId="70C90C51">
            <w:pPr>
              <w:shd w:val="clear" w:color="auto" w:fill="FFFFFF"/>
              <w:spacing w:line="280" w:lineRule="exact"/>
              <w:ind w:firstLine="0" w:firstLineChars="0"/>
              <w:jc w:val="center"/>
              <w:rPr>
                <w:rFonts w:hint="eastAsia" w:ascii="仿宋_GB2312" w:hAnsi="仿宋_GB2312" w:eastAsia="仿宋_GB2312" w:cs="仿宋_GB2312"/>
                <w:b w:val="0"/>
                <w:bCs w:val="0"/>
                <w:color w:val="auto"/>
                <w:sz w:val="24"/>
                <w:szCs w:val="24"/>
                <w:lang w:eastAsia="en-US"/>
              </w:rPr>
            </w:pPr>
          </w:p>
        </w:tc>
      </w:tr>
    </w:tbl>
    <w:p w14:paraId="330C7DA2">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1.表中只需填写“√/通过”或“×/不通过”。</w:t>
      </w:r>
    </w:p>
    <w:p w14:paraId="1AD64BD1">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2.在结论中按“一项否决”的原则，只有全部是√/通过的，填写“合格”；只要其中有一项是×/不通过的，填写“不合格”。</w:t>
      </w:r>
    </w:p>
    <w:p w14:paraId="741EFC32">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3.结论是合格的，才能进入下一轮；不合格的被淘汰。</w:t>
      </w:r>
    </w:p>
    <w:p w14:paraId="3C133BC1">
      <w:pPr>
        <w:spacing w:line="520" w:lineRule="exact"/>
        <w:jc w:val="both"/>
        <w:outlineLvl w:val="9"/>
        <w:rPr>
          <w:rFonts w:ascii="Times New Roman"/>
          <w:b/>
          <w:bCs/>
          <w:color w:val="auto"/>
          <w:sz w:val="32"/>
          <w:szCs w:val="32"/>
        </w:rPr>
        <w:sectPr>
          <w:footerReference r:id="rId13" w:type="default"/>
          <w:footerReference r:id="rId14" w:type="even"/>
          <w:pgSz w:w="11906" w:h="16838"/>
          <w:pgMar w:top="1580" w:right="720" w:bottom="720" w:left="720" w:header="851" w:footer="992" w:gutter="0"/>
          <w:pgNumType w:fmt="chineseCounting"/>
          <w:cols w:space="720" w:num="1"/>
          <w:docGrid w:type="lines" w:linePitch="312" w:charSpace="0"/>
        </w:sectPr>
      </w:pPr>
      <w:bookmarkStart w:id="210" w:name="_Toc11208"/>
    </w:p>
    <w:p w14:paraId="79DA1105">
      <w:pPr>
        <w:pStyle w:val="2"/>
        <w:widowControl w:val="0"/>
        <w:snapToGrid w:val="0"/>
        <w:spacing w:before="0" w:after="0" w:line="576" w:lineRule="exact"/>
        <w:ind w:left="0" w:firstLine="600" w:firstLineChars="200"/>
        <w:rPr>
          <w:rFonts w:hint="default" w:ascii="黑体" w:hAnsi="黑体" w:eastAsia="黑体" w:cs="黑体"/>
          <w:b w:val="0"/>
          <w:color w:val="000000"/>
          <w:sz w:val="30"/>
          <w:szCs w:val="30"/>
        </w:rPr>
      </w:pPr>
      <w:r>
        <w:rPr>
          <w:rFonts w:hint="default" w:ascii="黑体" w:hAnsi="黑体" w:eastAsia="黑体" w:cs="黑体"/>
          <w:b w:val="0"/>
          <w:color w:val="000000"/>
          <w:sz w:val="30"/>
          <w:szCs w:val="30"/>
        </w:rPr>
        <w:t>报价表</w:t>
      </w:r>
      <w:bookmarkEnd w:id="210"/>
      <w:r>
        <w:rPr>
          <w:rFonts w:hint="default" w:ascii="黑体" w:hAnsi="黑体" w:eastAsia="黑体" w:cs="黑体"/>
          <w:b w:val="0"/>
          <w:color w:val="000000"/>
          <w:sz w:val="30"/>
          <w:szCs w:val="30"/>
        </w:rPr>
        <w:t>（第二次）</w:t>
      </w:r>
    </w:p>
    <w:p w14:paraId="08F4BCE7">
      <w:pPr>
        <w:widowControl w:val="0"/>
        <w:spacing w:line="576" w:lineRule="exact"/>
        <w:ind w:firstLine="560" w:firstLineChars="200"/>
        <w:jc w:val="both"/>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项目名称：</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20"/>
      </w:tblGrid>
      <w:tr w14:paraId="50B3A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jc w:val="center"/>
        </w:trPr>
        <w:tc>
          <w:tcPr>
            <w:tcW w:w="8820" w:type="dxa"/>
            <w:noWrap w:val="0"/>
            <w:vAlign w:val="center"/>
          </w:tcPr>
          <w:p w14:paraId="559258EE">
            <w:pPr>
              <w:widowControl w:val="0"/>
              <w:adjustRightInd/>
              <w:spacing w:line="576" w:lineRule="exact"/>
              <w:jc w:val="both"/>
              <w:textAlignment w:val="auto"/>
              <w:rPr>
                <w:rFonts w:ascii="Times New Roman"/>
                <w:color w:val="auto"/>
                <w:sz w:val="28"/>
                <w:szCs w:val="28"/>
              </w:rPr>
            </w:pPr>
            <w:r>
              <w:rPr>
                <w:rFonts w:hint="eastAsia" w:ascii="仿宋_GB2312" w:hAnsi="仿宋_GB2312" w:eastAsia="仿宋_GB2312" w:cs="仿宋_GB2312"/>
                <w:bCs/>
                <w:color w:val="auto"/>
                <w:sz w:val="28"/>
                <w:szCs w:val="28"/>
                <w:lang w:val="zh-CN"/>
              </w:rPr>
              <w:t>供应商（全称并加盖公章）：</w:t>
            </w:r>
          </w:p>
        </w:tc>
      </w:tr>
      <w:tr w14:paraId="01475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4" w:hRule="atLeast"/>
          <w:jc w:val="center"/>
        </w:trPr>
        <w:tc>
          <w:tcPr>
            <w:tcW w:w="8820" w:type="dxa"/>
            <w:noWrap w:val="0"/>
            <w:vAlign w:val="top"/>
          </w:tcPr>
          <w:p w14:paraId="6C76A2E8">
            <w:pPr>
              <w:widowControl w:val="0"/>
              <w:adjustRightInd/>
              <w:spacing w:line="576" w:lineRule="exact"/>
              <w:jc w:val="both"/>
              <w:textAlignment w:val="auto"/>
              <w:rPr>
                <w:rFonts w:ascii="Times New Roman"/>
                <w:color w:val="auto"/>
                <w:sz w:val="28"/>
                <w:szCs w:val="28"/>
              </w:rPr>
            </w:pPr>
            <w:r>
              <w:rPr>
                <w:rFonts w:hint="eastAsia" w:ascii="仿宋_GB2312" w:hAnsi="仿宋_GB2312" w:eastAsia="仿宋_GB2312" w:cs="仿宋_GB2312"/>
                <w:bCs/>
                <w:color w:val="auto"/>
                <w:sz w:val="28"/>
                <w:szCs w:val="28"/>
                <w:lang w:val="zh-CN"/>
              </w:rPr>
              <w:t>供应商二次报价（最终报价）：</w:t>
            </w:r>
          </w:p>
          <w:p w14:paraId="5247D194">
            <w:pPr>
              <w:adjustRightInd w:val="0"/>
              <w:spacing w:line="312" w:lineRule="atLeast"/>
              <w:ind w:firstLine="669" w:firstLineChars="196"/>
              <w:textAlignment w:val="baseline"/>
              <w:rPr>
                <w:rFonts w:ascii="Times New Roman"/>
                <w:b/>
                <w:color w:val="auto"/>
                <w:szCs w:val="28"/>
              </w:rPr>
            </w:pPr>
          </w:p>
          <w:p w14:paraId="5CB056CF">
            <w:pPr>
              <w:adjustRightInd w:val="0"/>
              <w:spacing w:line="312" w:lineRule="atLeast"/>
              <w:textAlignment w:val="baseline"/>
              <w:rPr>
                <w:rFonts w:ascii="Times New Roman"/>
                <w:b/>
                <w:color w:val="auto"/>
                <w:szCs w:val="28"/>
                <w:u w:val="single"/>
              </w:rPr>
            </w:pPr>
            <w:r>
              <w:rPr>
                <w:rFonts w:ascii="Times New Roman"/>
                <w:b/>
                <w:color w:val="auto"/>
                <w:szCs w:val="28"/>
              </w:rPr>
              <w:t>大写：</w:t>
            </w:r>
            <w:r>
              <w:rPr>
                <w:rFonts w:ascii="Times New Roman"/>
                <w:b/>
                <w:color w:val="auto"/>
                <w:szCs w:val="28"/>
                <w:u w:val="single"/>
              </w:rPr>
              <w:t xml:space="preserve">   拾   万   仟    佰   拾   元   角   分</w:t>
            </w:r>
          </w:p>
          <w:p w14:paraId="0E778EE6">
            <w:pPr>
              <w:adjustRightInd w:val="0"/>
              <w:spacing w:line="312" w:lineRule="atLeast"/>
              <w:ind w:firstLine="669" w:firstLineChars="196"/>
              <w:textAlignment w:val="baseline"/>
              <w:rPr>
                <w:rFonts w:ascii="Times New Roman"/>
                <w:b/>
                <w:color w:val="auto"/>
                <w:szCs w:val="28"/>
              </w:rPr>
            </w:pPr>
          </w:p>
          <w:p w14:paraId="0FDD10A2">
            <w:pPr>
              <w:adjustRightInd w:val="0"/>
              <w:spacing w:line="312" w:lineRule="atLeast"/>
              <w:textAlignment w:val="baseline"/>
              <w:rPr>
                <w:rFonts w:ascii="Times New Roman"/>
                <w:color w:val="auto"/>
                <w:sz w:val="28"/>
                <w:szCs w:val="28"/>
                <w:u w:val="single"/>
              </w:rPr>
            </w:pPr>
            <w:r>
              <w:rPr>
                <w:rFonts w:ascii="Times New Roman"/>
                <w:b/>
                <w:color w:val="auto"/>
                <w:szCs w:val="28"/>
              </w:rPr>
              <w:t>小写：</w:t>
            </w:r>
            <w:r>
              <w:rPr>
                <w:rFonts w:ascii="Times New Roman"/>
                <w:b/>
                <w:color w:val="auto"/>
                <w:szCs w:val="28"/>
                <w:u w:val="single"/>
              </w:rPr>
              <w:t xml:space="preserve">                                         </w:t>
            </w:r>
          </w:p>
        </w:tc>
      </w:tr>
      <w:tr w14:paraId="48CBC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1" w:hRule="atLeast"/>
          <w:jc w:val="center"/>
        </w:trPr>
        <w:tc>
          <w:tcPr>
            <w:tcW w:w="8820" w:type="dxa"/>
            <w:noWrap w:val="0"/>
            <w:vAlign w:val="top"/>
          </w:tcPr>
          <w:p w14:paraId="6C6CA1B5">
            <w:pPr>
              <w:widowControl w:val="0"/>
              <w:adjustRightInd/>
              <w:spacing w:line="576" w:lineRule="exact"/>
              <w:jc w:val="both"/>
              <w:textAlignment w:val="auto"/>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供应商其他承诺：</w:t>
            </w:r>
          </w:p>
          <w:p w14:paraId="53E5F18F">
            <w:pPr>
              <w:adjustRightInd w:val="0"/>
              <w:spacing w:line="312" w:lineRule="atLeast"/>
              <w:textAlignment w:val="baseline"/>
              <w:rPr>
                <w:rFonts w:ascii="Times New Roman"/>
                <w:color w:val="auto"/>
                <w:sz w:val="28"/>
                <w:szCs w:val="28"/>
              </w:rPr>
            </w:pPr>
          </w:p>
          <w:p w14:paraId="6205D298">
            <w:pPr>
              <w:pStyle w:val="33"/>
              <w:rPr>
                <w:rFonts w:ascii="Times New Roman" w:hAnsi="Times New Roman" w:cs="Times New Roman"/>
                <w:color w:val="auto"/>
              </w:rPr>
            </w:pPr>
          </w:p>
          <w:p w14:paraId="792C8CD6">
            <w:pPr>
              <w:rPr>
                <w:rFonts w:ascii="Times New Roman"/>
                <w:color w:val="auto"/>
              </w:rPr>
            </w:pPr>
          </w:p>
          <w:p w14:paraId="6CB384BB">
            <w:pPr>
              <w:adjustRightInd w:val="0"/>
              <w:spacing w:line="312" w:lineRule="atLeast"/>
              <w:textAlignment w:val="baseline"/>
              <w:rPr>
                <w:rFonts w:ascii="Times New Roman"/>
                <w:color w:val="auto"/>
                <w:sz w:val="28"/>
                <w:szCs w:val="28"/>
              </w:rPr>
            </w:pPr>
          </w:p>
          <w:p w14:paraId="6FBC2273">
            <w:pPr>
              <w:pStyle w:val="3"/>
              <w:rPr>
                <w:rFonts w:ascii="Times New Roman"/>
                <w:color w:val="auto"/>
                <w:sz w:val="28"/>
                <w:szCs w:val="28"/>
              </w:rPr>
            </w:pPr>
          </w:p>
          <w:p w14:paraId="0B5AEF00">
            <w:pPr>
              <w:rPr>
                <w:rFonts w:ascii="Times New Roman"/>
                <w:color w:val="auto"/>
                <w:sz w:val="28"/>
                <w:szCs w:val="28"/>
              </w:rPr>
            </w:pPr>
          </w:p>
          <w:p w14:paraId="5E20C76F">
            <w:pPr>
              <w:pStyle w:val="3"/>
            </w:pPr>
          </w:p>
          <w:p w14:paraId="5255FC36">
            <w:pPr>
              <w:widowControl w:val="0"/>
              <w:adjustRightInd/>
              <w:spacing w:line="576" w:lineRule="exact"/>
              <w:ind w:firstLine="0" w:firstLineChars="0"/>
              <w:jc w:val="both"/>
              <w:textAlignment w:val="auto"/>
              <w:rPr>
                <w:rFonts w:hint="eastAsia" w:ascii="仿宋_GB2312" w:hAnsi="仿宋_GB2312" w:eastAsia="仿宋_GB2312" w:cs="仿宋_GB2312"/>
                <w:bCs/>
                <w:color w:val="auto"/>
                <w:sz w:val="28"/>
                <w:szCs w:val="28"/>
                <w:lang w:val="zh-CN"/>
              </w:rPr>
            </w:pPr>
            <w:r>
              <w:rPr>
                <w:rFonts w:hint="eastAsia" w:ascii="Times New Roman" w:hAnsi="Times New Roman" w:eastAsia="宋体" w:cs="Times New Roman"/>
                <w:color w:val="auto"/>
                <w:sz w:val="28"/>
                <w:szCs w:val="28"/>
                <w:lang w:val="en-US" w:eastAsia="zh-CN"/>
              </w:rPr>
              <w:t xml:space="preserve">                      </w:t>
            </w:r>
            <w:r>
              <w:rPr>
                <w:rFonts w:hint="eastAsia" w:ascii="仿宋_GB2312" w:hAnsi="仿宋_GB2312" w:eastAsia="仿宋_GB2312" w:cs="仿宋_GB2312"/>
                <w:bCs/>
                <w:color w:val="auto"/>
                <w:sz w:val="28"/>
                <w:szCs w:val="28"/>
                <w:lang w:val="zh-CN"/>
              </w:rPr>
              <w:t xml:space="preserve">法定代表人（授权代理人）签名：                                         </w:t>
            </w:r>
          </w:p>
          <w:p w14:paraId="27CA841F">
            <w:pPr>
              <w:widowControl w:val="0"/>
              <w:adjustRightInd/>
              <w:spacing w:line="576" w:lineRule="exact"/>
              <w:jc w:val="right"/>
              <w:textAlignment w:val="auto"/>
              <w:rPr>
                <w:color w:val="auto"/>
                <w:sz w:val="28"/>
                <w:szCs w:val="28"/>
              </w:rPr>
            </w:pPr>
            <w:r>
              <w:rPr>
                <w:rFonts w:hint="eastAsia" w:ascii="仿宋_GB2312" w:hAnsi="仿宋_GB2312" w:eastAsia="仿宋_GB2312" w:cs="仿宋_GB2312"/>
                <w:bCs/>
                <w:color w:val="auto"/>
                <w:sz w:val="28"/>
                <w:szCs w:val="28"/>
                <w:lang w:val="zh-CN"/>
              </w:rPr>
              <w:t xml:space="preserve"> 年   月  日</w:t>
            </w:r>
          </w:p>
        </w:tc>
      </w:tr>
    </w:tbl>
    <w:p w14:paraId="15E605CD">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注：</w:t>
      </w:r>
    </w:p>
    <w:p w14:paraId="5E2CC538">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1.大写数字：壹、贰、叁、肆、伍、陆、柒、捌、玖、零、亿、万、仟、佰、拾；</w:t>
      </w:r>
    </w:p>
    <w:p w14:paraId="582A8266">
      <w:pPr>
        <w:widowControl w:val="0"/>
        <w:spacing w:line="576" w:lineRule="exact"/>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lang w:val="zh-CN"/>
        </w:rPr>
        <w:t>2.供应商填完此表应在响应报价大写及小写、签名处盖上手印</w:t>
      </w:r>
      <w:r>
        <w:rPr>
          <w:rFonts w:ascii="仿宋_GB2312" w:hAnsi="仿宋_GB2312" w:eastAsia="仿宋_GB2312" w:cs="仿宋_GB2312"/>
          <w:color w:val="auto"/>
          <w:sz w:val="28"/>
          <w:szCs w:val="28"/>
        </w:rPr>
        <w:t>。</w:t>
      </w:r>
      <w:bookmarkEnd w:id="209"/>
      <w:bookmarkStart w:id="211" w:name="_Toc8157"/>
    </w:p>
    <w:p w14:paraId="7113DD6F">
      <w:pPr>
        <w:adjustRightInd w:val="0"/>
        <w:spacing w:line="520" w:lineRule="exact"/>
        <w:ind w:firstLine="0"/>
        <w:jc w:val="both"/>
        <w:textAlignment w:val="baseline"/>
        <w:rPr>
          <w:rFonts w:ascii="Times New Roman"/>
          <w:color w:val="auto"/>
          <w:sz w:val="24"/>
          <w:szCs w:val="24"/>
        </w:rPr>
        <w:sectPr>
          <w:pgSz w:w="11906" w:h="16838"/>
          <w:pgMar w:top="1580" w:right="720" w:bottom="720" w:left="720" w:header="851" w:footer="992" w:gutter="0"/>
          <w:pgNumType w:fmt="chineseCounting"/>
          <w:cols w:space="720" w:num="1"/>
          <w:docGrid w:type="lines" w:linePitch="312" w:charSpace="0"/>
        </w:sectPr>
      </w:pPr>
    </w:p>
    <w:p w14:paraId="0AC031C4">
      <w:pPr>
        <w:pStyle w:val="2"/>
        <w:widowControl w:val="0"/>
        <w:snapToGrid w:val="0"/>
        <w:spacing w:line="576" w:lineRule="exact"/>
        <w:ind w:firstLine="600" w:firstLineChars="200"/>
        <w:jc w:val="center"/>
        <w:rPr>
          <w:rFonts w:ascii="黑体" w:hAnsi="黑体" w:eastAsia="黑体" w:cs="黑体"/>
          <w:b w:val="0"/>
          <w:bCs/>
          <w:color w:val="000000"/>
          <w:spacing w:val="0"/>
          <w:sz w:val="30"/>
          <w:szCs w:val="30"/>
        </w:rPr>
      </w:pPr>
      <w:r>
        <w:rPr>
          <w:rFonts w:ascii="黑体" w:hAnsi="黑体" w:eastAsia="黑体" w:cs="黑体"/>
          <w:b w:val="0"/>
          <w:color w:val="000000"/>
          <w:sz w:val="30"/>
          <w:szCs w:val="30"/>
        </w:rPr>
        <w:t>分项报价明细表（第二次）</w:t>
      </w:r>
    </w:p>
    <w:p w14:paraId="4D31A1F6">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2303"/>
        <w:gridCol w:w="1080"/>
        <w:gridCol w:w="1079"/>
        <w:gridCol w:w="1080"/>
        <w:gridCol w:w="1078"/>
        <w:gridCol w:w="1084"/>
      </w:tblGrid>
      <w:tr w14:paraId="4573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 w:hRule="exact"/>
          <w:jc w:val="center"/>
        </w:trPr>
        <w:tc>
          <w:tcPr>
            <w:tcW w:w="716" w:type="dxa"/>
            <w:noWrap w:val="0"/>
            <w:vAlign w:val="center"/>
          </w:tcPr>
          <w:p w14:paraId="1E568D4E">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序号</w:t>
            </w:r>
          </w:p>
        </w:tc>
        <w:tc>
          <w:tcPr>
            <w:tcW w:w="2303" w:type="dxa"/>
            <w:noWrap w:val="0"/>
            <w:vAlign w:val="center"/>
          </w:tcPr>
          <w:p w14:paraId="218AF4BF">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名称</w:t>
            </w:r>
          </w:p>
        </w:tc>
        <w:tc>
          <w:tcPr>
            <w:tcW w:w="1080" w:type="dxa"/>
            <w:noWrap w:val="0"/>
            <w:vAlign w:val="center"/>
          </w:tcPr>
          <w:p w14:paraId="0F918F8F">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单位</w:t>
            </w:r>
          </w:p>
        </w:tc>
        <w:tc>
          <w:tcPr>
            <w:tcW w:w="1079" w:type="dxa"/>
            <w:noWrap w:val="0"/>
            <w:vAlign w:val="center"/>
          </w:tcPr>
          <w:p w14:paraId="6E24DD43">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数量</w:t>
            </w:r>
          </w:p>
        </w:tc>
        <w:tc>
          <w:tcPr>
            <w:tcW w:w="1080" w:type="dxa"/>
            <w:noWrap w:val="0"/>
            <w:vAlign w:val="center"/>
          </w:tcPr>
          <w:p w14:paraId="3C24EAD4">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单价</w:t>
            </w:r>
          </w:p>
        </w:tc>
        <w:tc>
          <w:tcPr>
            <w:tcW w:w="1078" w:type="dxa"/>
            <w:noWrap w:val="0"/>
            <w:vAlign w:val="center"/>
          </w:tcPr>
          <w:p w14:paraId="1A4A923E">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金额</w:t>
            </w:r>
          </w:p>
        </w:tc>
        <w:tc>
          <w:tcPr>
            <w:tcW w:w="1084" w:type="dxa"/>
            <w:noWrap w:val="0"/>
            <w:vAlign w:val="center"/>
          </w:tcPr>
          <w:p w14:paraId="51827C39">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bCs/>
                <w:color w:val="auto"/>
                <w:sz w:val="24"/>
                <w:szCs w:val="24"/>
                <w:lang w:eastAsia="en-US"/>
              </w:rPr>
              <w:t>备注</w:t>
            </w:r>
          </w:p>
        </w:tc>
      </w:tr>
      <w:tr w14:paraId="5DA7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716" w:type="dxa"/>
            <w:noWrap w:val="0"/>
            <w:vAlign w:val="center"/>
          </w:tcPr>
          <w:p w14:paraId="29A89750">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1</w:t>
            </w:r>
          </w:p>
        </w:tc>
        <w:tc>
          <w:tcPr>
            <w:tcW w:w="2303" w:type="dxa"/>
            <w:noWrap w:val="0"/>
            <w:vAlign w:val="center"/>
          </w:tcPr>
          <w:p w14:paraId="0148D369">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79488496">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9" w:type="dxa"/>
            <w:noWrap w:val="0"/>
            <w:vAlign w:val="center"/>
          </w:tcPr>
          <w:p w14:paraId="571169E4">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5F132DAD">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8" w:type="dxa"/>
            <w:noWrap w:val="0"/>
            <w:vAlign w:val="center"/>
          </w:tcPr>
          <w:p w14:paraId="1DEEAFBF">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4" w:type="dxa"/>
            <w:noWrap w:val="0"/>
            <w:vAlign w:val="center"/>
          </w:tcPr>
          <w:p w14:paraId="03E2A5FD">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r>
      <w:tr w14:paraId="088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716" w:type="dxa"/>
            <w:noWrap w:val="0"/>
            <w:vAlign w:val="center"/>
          </w:tcPr>
          <w:p w14:paraId="678DFC78">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2</w:t>
            </w:r>
          </w:p>
        </w:tc>
        <w:tc>
          <w:tcPr>
            <w:tcW w:w="2303" w:type="dxa"/>
            <w:noWrap w:val="0"/>
            <w:vAlign w:val="center"/>
          </w:tcPr>
          <w:p w14:paraId="585F5106">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261F6185">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9" w:type="dxa"/>
            <w:noWrap w:val="0"/>
            <w:vAlign w:val="center"/>
          </w:tcPr>
          <w:p w14:paraId="11E34C34">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7F9E1890">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8" w:type="dxa"/>
            <w:noWrap w:val="0"/>
            <w:vAlign w:val="center"/>
          </w:tcPr>
          <w:p w14:paraId="4E901AB9">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4" w:type="dxa"/>
            <w:noWrap w:val="0"/>
            <w:vAlign w:val="center"/>
          </w:tcPr>
          <w:p w14:paraId="5374C023">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r>
      <w:tr w14:paraId="1F18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716" w:type="dxa"/>
            <w:noWrap w:val="0"/>
            <w:vAlign w:val="center"/>
          </w:tcPr>
          <w:p w14:paraId="01CBDAD4">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3</w:t>
            </w:r>
          </w:p>
        </w:tc>
        <w:tc>
          <w:tcPr>
            <w:tcW w:w="2303" w:type="dxa"/>
            <w:noWrap w:val="0"/>
            <w:vAlign w:val="center"/>
          </w:tcPr>
          <w:p w14:paraId="2750DA60">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7D1373C6">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9" w:type="dxa"/>
            <w:noWrap w:val="0"/>
            <w:vAlign w:val="center"/>
          </w:tcPr>
          <w:p w14:paraId="3A01EA5F">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520ED7FE">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8" w:type="dxa"/>
            <w:noWrap w:val="0"/>
            <w:vAlign w:val="center"/>
          </w:tcPr>
          <w:p w14:paraId="2AF52588">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4" w:type="dxa"/>
            <w:noWrap w:val="0"/>
            <w:vAlign w:val="center"/>
          </w:tcPr>
          <w:p w14:paraId="6144F3C7">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r>
      <w:tr w14:paraId="3F8C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716" w:type="dxa"/>
            <w:noWrap w:val="0"/>
            <w:vAlign w:val="center"/>
          </w:tcPr>
          <w:p w14:paraId="24D190A4">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4</w:t>
            </w:r>
          </w:p>
        </w:tc>
        <w:tc>
          <w:tcPr>
            <w:tcW w:w="2303" w:type="dxa"/>
            <w:noWrap w:val="0"/>
            <w:vAlign w:val="center"/>
          </w:tcPr>
          <w:p w14:paraId="545921BB">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7F8DCD2E">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9" w:type="dxa"/>
            <w:noWrap w:val="0"/>
            <w:vAlign w:val="center"/>
          </w:tcPr>
          <w:p w14:paraId="190731D2">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4E50E454">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8" w:type="dxa"/>
            <w:noWrap w:val="0"/>
            <w:vAlign w:val="center"/>
          </w:tcPr>
          <w:p w14:paraId="70F4C995">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4" w:type="dxa"/>
            <w:noWrap w:val="0"/>
            <w:vAlign w:val="center"/>
          </w:tcPr>
          <w:p w14:paraId="6174A129">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r>
      <w:tr w14:paraId="72C8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716" w:type="dxa"/>
            <w:noWrap w:val="0"/>
            <w:vAlign w:val="center"/>
          </w:tcPr>
          <w:p w14:paraId="655EF4FD">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r>
              <w:rPr>
                <w:rFonts w:hint="eastAsia" w:ascii="仿宋_GB2312" w:hAnsi="仿宋_GB2312" w:eastAsia="仿宋_GB2312" w:cs="仿宋_GB2312"/>
                <w:b w:val="0"/>
                <w:bCs w:val="0"/>
                <w:color w:val="auto"/>
                <w:sz w:val="24"/>
                <w:szCs w:val="24"/>
                <w:lang w:eastAsia="en-US"/>
              </w:rPr>
              <w:t>5</w:t>
            </w:r>
          </w:p>
        </w:tc>
        <w:tc>
          <w:tcPr>
            <w:tcW w:w="2303" w:type="dxa"/>
            <w:noWrap w:val="0"/>
            <w:vAlign w:val="center"/>
          </w:tcPr>
          <w:p w14:paraId="1A95CEEF">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37A8C5E7">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9" w:type="dxa"/>
            <w:noWrap w:val="0"/>
            <w:vAlign w:val="center"/>
          </w:tcPr>
          <w:p w14:paraId="15D37EE5">
            <w:pPr>
              <w:keepNext w:val="0"/>
              <w:keepLines w:val="0"/>
              <w:pageBreakBefore w:val="0"/>
              <w:widowControl/>
              <w:shd w:val="clear" w:color="auto" w:fill="auto"/>
              <w:kinsoku/>
              <w:wordWrap/>
              <w:overflowPunct/>
              <w:topLinePunct w:val="0"/>
              <w:autoSpaceDE/>
              <w:autoSpaceDN/>
              <w:bidi w:val="0"/>
              <w:adjustRightIn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0" w:type="dxa"/>
            <w:noWrap w:val="0"/>
            <w:vAlign w:val="center"/>
          </w:tcPr>
          <w:p w14:paraId="4E01C05A">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78" w:type="dxa"/>
            <w:noWrap w:val="0"/>
            <w:vAlign w:val="center"/>
          </w:tcPr>
          <w:p w14:paraId="1E542D20">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c>
          <w:tcPr>
            <w:tcW w:w="1084" w:type="dxa"/>
            <w:noWrap w:val="0"/>
            <w:vAlign w:val="center"/>
          </w:tcPr>
          <w:p w14:paraId="2C15B691">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b w:val="0"/>
                <w:bCs w:val="0"/>
                <w:color w:val="auto"/>
                <w:sz w:val="24"/>
                <w:szCs w:val="24"/>
                <w:lang w:eastAsia="en-US"/>
              </w:rPr>
            </w:pPr>
          </w:p>
        </w:tc>
      </w:tr>
      <w:tr w14:paraId="7659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 w:hRule="atLeast"/>
          <w:jc w:val="center"/>
        </w:trPr>
        <w:tc>
          <w:tcPr>
            <w:tcW w:w="8420" w:type="dxa"/>
            <w:gridSpan w:val="7"/>
            <w:noWrap w:val="0"/>
            <w:vAlign w:val="center"/>
          </w:tcPr>
          <w:p w14:paraId="3EF3A514">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left"/>
              <w:textAlignment w:val="auto"/>
              <w:rPr>
                <w:rFonts w:hint="eastAsia" w:ascii="仿宋_GB2312" w:hAnsi="仿宋_GB2312" w:eastAsia="仿宋_GB2312" w:cs="仿宋_GB2312"/>
                <w:b/>
                <w:bCs/>
                <w:color w:val="auto"/>
                <w:sz w:val="24"/>
                <w:szCs w:val="24"/>
                <w:lang w:eastAsia="en-US"/>
              </w:rPr>
            </w:pPr>
            <w:r>
              <w:rPr>
                <w:rFonts w:hint="eastAsia" w:ascii="仿宋_GB2312" w:hAnsi="仿宋_GB2312" w:eastAsia="仿宋_GB2312" w:cs="仿宋_GB2312"/>
                <w:b w:val="0"/>
                <w:bCs w:val="0"/>
                <w:color w:val="auto"/>
                <w:sz w:val="24"/>
                <w:szCs w:val="24"/>
                <w:lang w:eastAsia="en-US"/>
              </w:rPr>
              <w:t>合计：¥</w:t>
            </w:r>
            <w:r>
              <w:rPr>
                <w:rFonts w:hint="eastAsia" w:ascii="仿宋_GB2312" w:hAnsi="仿宋_GB2312" w:eastAsia="仿宋_GB2312" w:cs="仿宋_GB2312"/>
                <w:b w:val="0"/>
                <w:bCs w:val="0"/>
                <w:color w:val="auto"/>
                <w:sz w:val="24"/>
                <w:szCs w:val="24"/>
                <w:u w:val="none"/>
                <w:lang w:eastAsia="en-US"/>
              </w:rPr>
              <w:t xml:space="preserve">         </w:t>
            </w:r>
            <w:r>
              <w:rPr>
                <w:rFonts w:hint="eastAsia" w:ascii="仿宋_GB2312" w:hAnsi="仿宋_GB2312" w:eastAsia="仿宋_GB2312" w:cs="仿宋_GB2312"/>
                <w:b w:val="0"/>
                <w:bCs w:val="0"/>
                <w:color w:val="auto"/>
                <w:sz w:val="24"/>
                <w:szCs w:val="24"/>
                <w:lang w:eastAsia="en-US"/>
              </w:rPr>
              <w:t xml:space="preserve">（大写：人民币 </w:t>
            </w:r>
            <w:r>
              <w:rPr>
                <w:rFonts w:hint="eastAsia" w:ascii="仿宋_GB2312" w:hAnsi="仿宋_GB2312" w:eastAsia="仿宋_GB2312" w:cs="仿宋_GB2312"/>
                <w:b w:val="0"/>
                <w:bCs w:val="0"/>
                <w:color w:val="auto"/>
                <w:sz w:val="24"/>
                <w:szCs w:val="24"/>
                <w:u w:val="none"/>
                <w:lang w:eastAsia="en-US"/>
              </w:rPr>
              <w:t xml:space="preserve">          </w:t>
            </w:r>
            <w:r>
              <w:rPr>
                <w:rFonts w:hint="eastAsia" w:ascii="仿宋_GB2312" w:hAnsi="仿宋_GB2312" w:eastAsia="仿宋_GB2312" w:cs="仿宋_GB2312"/>
                <w:b w:val="0"/>
                <w:bCs w:val="0"/>
                <w:color w:val="auto"/>
                <w:sz w:val="24"/>
                <w:szCs w:val="24"/>
                <w:lang w:eastAsia="en-US"/>
              </w:rPr>
              <w:t>）</w:t>
            </w:r>
          </w:p>
        </w:tc>
      </w:tr>
    </w:tbl>
    <w:p w14:paraId="170B43C6">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注：</w:t>
      </w:r>
    </w:p>
    <w:p w14:paraId="581D4609">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供应商必须按“最终分项报价明细表”的格式详细报出响应总价的各个组成部分的报价，报价含内容包括但不限于（经谈判后完整的采购需求内容）等全部费用，否则作无效响应处理。</w:t>
      </w:r>
    </w:p>
    <w:p w14:paraId="0DE7CCE3">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“最终分项报价明细表”各分项报价合计应当与“最终报价（二次报价）”报价合计相等。</w:t>
      </w:r>
    </w:p>
    <w:p w14:paraId="2FF4EF26">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p>
    <w:p w14:paraId="458C4875">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 xml:space="preserve">供应商（全称并加盖公章）：         </w:t>
      </w:r>
    </w:p>
    <w:p w14:paraId="2C49538A">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法定代表人（授权代理人）签字：</w:t>
      </w:r>
    </w:p>
    <w:p w14:paraId="44ED6B48">
      <w:pPr>
        <w:widowControl w:val="0"/>
        <w:spacing w:line="576" w:lineRule="exact"/>
        <w:ind w:firstLine="560" w:firstLineChars="200"/>
        <w:jc w:val="both"/>
        <w:rPr>
          <w:rFonts w:hint="eastAsia" w:ascii="仿宋_GB2312" w:hAnsi="仿宋_GB2312" w:eastAsia="仿宋_GB2312" w:cs="仿宋_GB2312"/>
          <w:bCs/>
          <w:color w:val="auto"/>
          <w:sz w:val="28"/>
          <w:szCs w:val="28"/>
          <w:lang w:val="zh-CN"/>
        </w:rPr>
      </w:pPr>
      <w:r>
        <w:rPr>
          <w:rFonts w:hint="eastAsia" w:ascii="仿宋_GB2312" w:hAnsi="仿宋_GB2312" w:eastAsia="仿宋_GB2312" w:cs="仿宋_GB2312"/>
          <w:bCs/>
          <w:color w:val="auto"/>
          <w:sz w:val="28"/>
          <w:szCs w:val="28"/>
          <w:lang w:val="zh-CN"/>
        </w:rPr>
        <w:t>日 期：</w:t>
      </w:r>
    </w:p>
    <w:p w14:paraId="779CBE36">
      <w:pPr>
        <w:pStyle w:val="22"/>
        <w:spacing w:line="240" w:lineRule="auto"/>
        <w:ind w:firstLine="340" w:firstLineChars="100"/>
        <w:jc w:val="center"/>
        <w:outlineLvl w:val="0"/>
        <w:rPr>
          <w:rFonts w:ascii="Times New Roman"/>
          <w:color w:val="auto"/>
        </w:rPr>
        <w:sectPr>
          <w:pgSz w:w="11906" w:h="16838"/>
          <w:pgMar w:top="1580" w:right="720" w:bottom="720" w:left="720" w:header="851" w:footer="992" w:gutter="0"/>
          <w:pgNumType w:fmt="chineseCounting"/>
          <w:cols w:space="720" w:num="1"/>
          <w:docGrid w:type="lines" w:linePitch="312" w:charSpace="0"/>
        </w:sectPr>
      </w:pPr>
    </w:p>
    <w:p w14:paraId="2D5A9466">
      <w:pPr>
        <w:widowControl w:val="0"/>
        <w:snapToGrid w:val="0"/>
        <w:spacing w:after="160" w:line="278" w:lineRule="auto"/>
        <w:jc w:val="left"/>
        <w:outlineLvl w:val="0"/>
        <w:rPr>
          <w:rFonts w:hint="eastAsia" w:ascii="宋体" w:hAnsi="宋体" w:eastAsia="宋体"/>
          <w:b/>
          <w:bCs/>
          <w:color w:val="000000"/>
          <w:kern w:val="2"/>
          <w:sz w:val="32"/>
          <w:szCs w:val="32"/>
          <w:lang w:val="en-US" w:eastAsia="zh-CN"/>
        </w:rPr>
      </w:pPr>
      <w:r>
        <w:rPr>
          <w:rFonts w:hint="eastAsia" w:ascii="宋体" w:hAnsi="宋体" w:eastAsia="宋体"/>
          <w:b/>
          <w:bCs/>
          <w:color w:val="000000"/>
          <w:kern w:val="2"/>
          <w:sz w:val="32"/>
          <w:szCs w:val="32"/>
          <w:lang w:val="en-US" w:eastAsia="zh-CN"/>
        </w:rPr>
        <w:t>第六章  合同文本模板</w:t>
      </w:r>
    </w:p>
    <w:p w14:paraId="3874BE32">
      <w:pPr>
        <w:widowControl w:val="0"/>
        <w:spacing w:before="0" w:beforeLines="0" w:after="0" w:afterLines="0" w:line="600" w:lineRule="exact"/>
        <w:jc w:val="center"/>
        <w:rPr>
          <w:rFonts w:hint="eastAsia" w:ascii="方正小标宋简体" w:hAnsi="方正小标宋简体" w:eastAsia="方正小标宋简体" w:cs="方正小标宋简体"/>
          <w:b w:val="0"/>
          <w:color w:val="000000"/>
          <w:kern w:val="2"/>
          <w:sz w:val="44"/>
          <w:szCs w:val="44"/>
          <w:lang w:bidi="ar"/>
        </w:rPr>
      </w:pPr>
      <w:r>
        <w:rPr>
          <w:rFonts w:hint="eastAsia" w:ascii="宋体" w:hAnsi="宋体" w:eastAsia="宋体"/>
          <w:b/>
          <w:bCs/>
          <w:color w:val="000000"/>
          <w:kern w:val="2"/>
          <w:sz w:val="32"/>
          <w:szCs w:val="32"/>
          <w:lang w:val="en-US" w:eastAsia="zh-CN"/>
        </w:rPr>
        <w:br w:type="page"/>
      </w:r>
      <w:r>
        <w:rPr>
          <w:rFonts w:hint="eastAsia" w:ascii="方正小标宋简体" w:hAnsi="方正小标宋简体" w:eastAsia="方正小标宋简体" w:cs="方正小标宋简体"/>
          <w:b w:val="0"/>
          <w:color w:val="000000"/>
          <w:kern w:val="2"/>
          <w:sz w:val="44"/>
          <w:szCs w:val="44"/>
          <w:lang w:val="en-US" w:eastAsia="zh-CN" w:bidi="ar"/>
        </w:rPr>
        <w:t>XXX软件</w:t>
      </w:r>
      <w:r>
        <w:rPr>
          <w:rFonts w:hint="eastAsia" w:ascii="方正小标宋简体" w:hAnsi="方正小标宋简体" w:eastAsia="方正小标宋简体" w:cs="方正小标宋简体"/>
          <w:b w:val="0"/>
          <w:color w:val="000000"/>
          <w:kern w:val="2"/>
          <w:sz w:val="44"/>
          <w:szCs w:val="44"/>
          <w:lang w:bidi="ar"/>
        </w:rPr>
        <w:t>项目建设合同</w:t>
      </w:r>
    </w:p>
    <w:p w14:paraId="074A699C">
      <w:pPr>
        <w:snapToGrid w:val="0"/>
        <w:spacing w:before="217" w:beforeLines="50" w:after="217" w:afterLines="50" w:line="440" w:lineRule="exact"/>
        <w:ind w:firstLine="0" w:firstLineChars="0"/>
        <w:jc w:val="both"/>
        <w:rPr>
          <w:rFonts w:ascii="仿宋" w:hAnsi="仿宋" w:eastAsia="仿宋" w:cs="仿宋"/>
          <w:b/>
          <w:bCs/>
          <w:color w:val="000000"/>
          <w:sz w:val="36"/>
          <w:szCs w:val="36"/>
        </w:rPr>
      </w:pPr>
    </w:p>
    <w:p w14:paraId="78093142">
      <w:pPr>
        <w:widowControl w:val="0"/>
        <w:tabs>
          <w:tab w:val="left" w:pos="4680"/>
        </w:tabs>
        <w:spacing w:line="576" w:lineRule="exact"/>
        <w:ind w:firstLine="562" w:firstLineChars="200"/>
        <w:jc w:val="both"/>
        <w:rPr>
          <w:rFonts w:ascii="仿宋" w:hAnsi="仿宋" w:eastAsia="仿宋" w:cs="仿宋"/>
          <w:b/>
          <w:bCs/>
          <w:sz w:val="24"/>
          <w:szCs w:val="22"/>
        </w:rPr>
      </w:pPr>
      <w:r>
        <w:rPr>
          <w:rFonts w:hint="eastAsia" w:ascii="仿宋_GB2312" w:hAnsi="Times New Roman" w:eastAsia="仿宋_GB2312" w:cs="仿宋_GB2312"/>
          <w:b/>
          <w:bCs/>
          <w:color w:val="000000"/>
          <w:kern w:val="2"/>
          <w:sz w:val="28"/>
          <w:szCs w:val="28"/>
          <w:lang w:val="en-US" w:eastAsia="zh-CN" w:bidi="ar"/>
        </w:rPr>
        <w:t>甲</w:t>
      </w:r>
      <w:r>
        <w:rPr>
          <w:rFonts w:hint="eastAsia" w:ascii="仿宋_GB2312" w:hAnsi="Times New Roman" w:eastAsia="仿宋_GB2312" w:cs="仿宋_GB2312"/>
          <w:b/>
          <w:bCs/>
          <w:color w:val="000000"/>
          <w:kern w:val="2"/>
          <w:sz w:val="28"/>
          <w:szCs w:val="28"/>
          <w:lang w:bidi="ar"/>
        </w:rPr>
        <w:t>方</w:t>
      </w:r>
      <w:r>
        <w:rPr>
          <w:rFonts w:hint="eastAsia" w:ascii="仿宋" w:hAnsi="仿宋" w:eastAsia="仿宋" w:cs="仿宋"/>
          <w:b/>
          <w:bCs/>
          <w:sz w:val="24"/>
          <w:szCs w:val="22"/>
        </w:rPr>
        <w:t>：</w:t>
      </w:r>
      <w:r>
        <w:rPr>
          <w:rFonts w:hint="eastAsia" w:ascii="仿宋" w:hAnsi="仿宋" w:eastAsia="仿宋" w:cs="仿宋"/>
          <w:b/>
          <w:bCs/>
          <w:sz w:val="24"/>
          <w:szCs w:val="22"/>
          <w:u w:val="single"/>
        </w:rPr>
        <w:t xml:space="preserve">                     </w:t>
      </w:r>
    </w:p>
    <w:p w14:paraId="43494512">
      <w:pPr>
        <w:tabs>
          <w:tab w:val="left" w:pos="4680"/>
        </w:tabs>
        <w:spacing w:line="360" w:lineRule="auto"/>
        <w:ind w:firstLine="560" w:firstLineChars="200"/>
        <w:rPr>
          <w:rFonts w:ascii="仿宋" w:hAnsi="仿宋" w:eastAsia="仿宋" w:cs="仿宋"/>
          <w:sz w:val="24"/>
          <w:szCs w:val="22"/>
        </w:rPr>
      </w:pPr>
      <w:r>
        <w:rPr>
          <w:rFonts w:hint="eastAsia" w:ascii="仿宋_GB2312" w:hAnsi="Times New Roman" w:eastAsia="仿宋_GB2312" w:cs="仿宋_GB2312"/>
          <w:color w:val="000000"/>
          <w:kern w:val="2"/>
          <w:sz w:val="28"/>
          <w:szCs w:val="28"/>
          <w:lang w:bidi="ar"/>
        </w:rPr>
        <w:t>统一社会信用代码：</w:t>
      </w:r>
      <w:r>
        <w:rPr>
          <w:rFonts w:hint="eastAsia" w:ascii="仿宋" w:hAnsi="仿宋" w:eastAsia="仿宋" w:cs="仿宋"/>
          <w:sz w:val="24"/>
          <w:szCs w:val="22"/>
        </w:rPr>
        <w:t>【】</w:t>
      </w:r>
    </w:p>
    <w:p w14:paraId="03F11985">
      <w:pPr>
        <w:tabs>
          <w:tab w:val="left" w:pos="4680"/>
        </w:tabs>
        <w:spacing w:line="360" w:lineRule="auto"/>
        <w:ind w:firstLine="560" w:firstLineChars="200"/>
        <w:rPr>
          <w:rFonts w:ascii="仿宋" w:hAnsi="仿宋" w:eastAsia="仿宋" w:cs="仿宋"/>
          <w:sz w:val="24"/>
          <w:szCs w:val="22"/>
        </w:rPr>
      </w:pPr>
      <w:r>
        <w:rPr>
          <w:rFonts w:hint="eastAsia" w:ascii="仿宋_GB2312" w:hAnsi="Times New Roman" w:eastAsia="仿宋_GB2312" w:cs="仿宋_GB2312"/>
          <w:color w:val="000000"/>
          <w:kern w:val="2"/>
          <w:sz w:val="28"/>
          <w:szCs w:val="28"/>
          <w:lang w:bidi="ar"/>
        </w:rPr>
        <w:t>法定代表人：</w:t>
      </w:r>
      <w:r>
        <w:rPr>
          <w:rFonts w:hint="eastAsia" w:ascii="仿宋" w:hAnsi="仿宋" w:eastAsia="仿宋" w:cs="仿宋"/>
          <w:sz w:val="24"/>
          <w:szCs w:val="22"/>
        </w:rPr>
        <w:t>【】</w:t>
      </w:r>
    </w:p>
    <w:p w14:paraId="35934035">
      <w:pPr>
        <w:tabs>
          <w:tab w:val="left" w:pos="4680"/>
        </w:tabs>
        <w:spacing w:line="360" w:lineRule="auto"/>
        <w:ind w:firstLine="560" w:firstLineChars="200"/>
        <w:rPr>
          <w:rFonts w:ascii="仿宋" w:hAnsi="仿宋" w:eastAsia="仿宋" w:cs="仿宋"/>
          <w:sz w:val="24"/>
          <w:szCs w:val="22"/>
        </w:rPr>
      </w:pPr>
      <w:r>
        <w:rPr>
          <w:rFonts w:hint="eastAsia" w:ascii="仿宋_GB2312" w:hAnsi="Times New Roman" w:eastAsia="仿宋_GB2312" w:cs="仿宋_GB2312"/>
          <w:color w:val="000000"/>
          <w:kern w:val="2"/>
          <w:sz w:val="28"/>
          <w:szCs w:val="28"/>
          <w:lang w:val="en-US" w:eastAsia="zh-CN" w:bidi="ar"/>
        </w:rPr>
        <w:t>企业</w:t>
      </w:r>
      <w:r>
        <w:rPr>
          <w:rFonts w:hint="eastAsia" w:ascii="仿宋_GB2312" w:hAnsi="Times New Roman" w:eastAsia="仿宋_GB2312" w:cs="仿宋_GB2312"/>
          <w:color w:val="000000"/>
          <w:kern w:val="2"/>
          <w:sz w:val="28"/>
          <w:szCs w:val="28"/>
          <w:lang w:bidi="ar"/>
        </w:rPr>
        <w:t>地址：</w:t>
      </w:r>
      <w:r>
        <w:rPr>
          <w:rFonts w:hint="eastAsia" w:ascii="仿宋" w:hAnsi="仿宋" w:eastAsia="仿宋" w:cs="仿宋"/>
          <w:sz w:val="24"/>
          <w:szCs w:val="22"/>
        </w:rPr>
        <w:t>【】</w:t>
      </w:r>
    </w:p>
    <w:p w14:paraId="40636C86">
      <w:pPr>
        <w:widowControl w:val="0"/>
        <w:spacing w:line="576" w:lineRule="exact"/>
        <w:ind w:firstLine="562" w:firstLineChars="200"/>
        <w:jc w:val="both"/>
        <w:rPr>
          <w:rFonts w:ascii="仿宋" w:hAnsi="仿宋" w:eastAsia="仿宋" w:cs="仿宋"/>
          <w:b/>
          <w:bCs/>
          <w:sz w:val="24"/>
          <w:szCs w:val="22"/>
        </w:rPr>
      </w:pPr>
      <w:r>
        <w:rPr>
          <w:rFonts w:hint="eastAsia" w:ascii="仿宋_GB2312" w:hAnsi="Times New Roman" w:eastAsia="仿宋_GB2312" w:cs="仿宋_GB2312"/>
          <w:b/>
          <w:bCs/>
          <w:color w:val="000000"/>
          <w:kern w:val="2"/>
          <w:sz w:val="28"/>
          <w:szCs w:val="28"/>
          <w:lang w:val="en-US" w:eastAsia="zh-CN" w:bidi="ar"/>
        </w:rPr>
        <w:t>乙方</w:t>
      </w:r>
      <w:r>
        <w:rPr>
          <w:rFonts w:hint="eastAsia" w:ascii="仿宋" w:hAnsi="仿宋" w:eastAsia="仿宋" w:cs="仿宋"/>
          <w:b/>
          <w:bCs/>
          <w:sz w:val="24"/>
          <w:szCs w:val="22"/>
        </w:rPr>
        <w:t xml:space="preserve">： </w:t>
      </w:r>
      <w:r>
        <w:rPr>
          <w:rFonts w:hint="eastAsia" w:ascii="仿宋" w:hAnsi="仿宋" w:eastAsia="仿宋" w:cs="仿宋"/>
          <w:b/>
          <w:bCs/>
          <w:sz w:val="24"/>
          <w:szCs w:val="22"/>
          <w:u w:val="single"/>
        </w:rPr>
        <w:t xml:space="preserve">                     </w:t>
      </w:r>
    </w:p>
    <w:p w14:paraId="69133E1E">
      <w:pPr>
        <w:widowControl w:val="0"/>
        <w:tabs>
          <w:tab w:val="left" w:pos="4680"/>
        </w:tabs>
        <w:spacing w:line="576" w:lineRule="exact"/>
        <w:ind w:firstLine="560" w:firstLineChars="200"/>
        <w:jc w:val="both"/>
        <w:rPr>
          <w:rFonts w:ascii="仿宋" w:hAnsi="仿宋" w:eastAsia="仿宋" w:cs="仿宋"/>
          <w:sz w:val="24"/>
          <w:szCs w:val="22"/>
        </w:rPr>
      </w:pPr>
      <w:r>
        <w:rPr>
          <w:rFonts w:hint="eastAsia" w:ascii="仿宋_GB2312" w:hAnsi="Times New Roman" w:eastAsia="仿宋_GB2312" w:cs="仿宋_GB2312"/>
          <w:color w:val="000000"/>
          <w:kern w:val="2"/>
          <w:sz w:val="28"/>
          <w:szCs w:val="28"/>
          <w:lang w:bidi="ar"/>
        </w:rPr>
        <w:t>统一</w:t>
      </w:r>
      <w:r>
        <w:rPr>
          <w:rFonts w:hint="eastAsia" w:ascii="仿宋" w:hAnsi="仿宋" w:eastAsia="仿宋" w:cs="仿宋"/>
          <w:sz w:val="24"/>
          <w:szCs w:val="22"/>
        </w:rPr>
        <w:t>社会信用代码：【】</w:t>
      </w:r>
    </w:p>
    <w:p w14:paraId="07D873A0">
      <w:pPr>
        <w:widowControl w:val="0"/>
        <w:tabs>
          <w:tab w:val="left" w:pos="4680"/>
        </w:tabs>
        <w:spacing w:line="576" w:lineRule="exact"/>
        <w:ind w:firstLine="560" w:firstLineChars="200"/>
        <w:jc w:val="both"/>
        <w:rPr>
          <w:rFonts w:ascii="仿宋" w:hAnsi="仿宋" w:eastAsia="仿宋" w:cs="仿宋"/>
          <w:sz w:val="24"/>
          <w:szCs w:val="22"/>
        </w:rPr>
      </w:pPr>
      <w:r>
        <w:rPr>
          <w:rFonts w:hint="eastAsia" w:ascii="仿宋_GB2312" w:hAnsi="Times New Roman" w:eastAsia="仿宋_GB2312" w:cs="仿宋_GB2312"/>
          <w:color w:val="000000"/>
          <w:kern w:val="2"/>
          <w:sz w:val="28"/>
          <w:szCs w:val="28"/>
          <w:lang w:bidi="ar"/>
        </w:rPr>
        <w:t>法定代表人：</w:t>
      </w:r>
      <w:r>
        <w:rPr>
          <w:rFonts w:hint="eastAsia" w:ascii="仿宋" w:hAnsi="仿宋" w:eastAsia="仿宋" w:cs="仿宋"/>
          <w:sz w:val="24"/>
          <w:szCs w:val="22"/>
        </w:rPr>
        <w:t>【】</w:t>
      </w:r>
    </w:p>
    <w:p w14:paraId="14109ADB">
      <w:pPr>
        <w:widowControl w:val="0"/>
        <w:tabs>
          <w:tab w:val="left" w:pos="4680"/>
        </w:tabs>
        <w:spacing w:line="576" w:lineRule="exact"/>
        <w:ind w:firstLine="560" w:firstLineChars="200"/>
        <w:jc w:val="both"/>
        <w:rPr>
          <w:rFonts w:ascii="仿宋" w:hAnsi="仿宋" w:eastAsia="仿宋" w:cs="仿宋"/>
          <w:b/>
          <w:bCs/>
          <w:sz w:val="24"/>
          <w:szCs w:val="22"/>
        </w:rPr>
      </w:pPr>
      <w:r>
        <w:rPr>
          <w:rFonts w:hint="eastAsia" w:ascii="仿宋_GB2312" w:hAnsi="Times New Roman" w:eastAsia="仿宋_GB2312" w:cs="仿宋_GB2312"/>
          <w:color w:val="000000"/>
          <w:kern w:val="2"/>
          <w:sz w:val="28"/>
          <w:szCs w:val="28"/>
          <w:lang w:val="en-US" w:eastAsia="zh-CN" w:bidi="ar"/>
        </w:rPr>
        <w:t>企业</w:t>
      </w:r>
      <w:r>
        <w:rPr>
          <w:rFonts w:hint="eastAsia" w:ascii="仿宋_GB2312" w:hAnsi="Times New Roman" w:eastAsia="仿宋_GB2312" w:cs="仿宋_GB2312"/>
          <w:color w:val="000000"/>
          <w:kern w:val="2"/>
          <w:sz w:val="28"/>
          <w:szCs w:val="28"/>
          <w:lang w:bidi="ar"/>
        </w:rPr>
        <w:t>地址：</w:t>
      </w:r>
      <w:r>
        <w:rPr>
          <w:rFonts w:hint="eastAsia" w:ascii="仿宋" w:hAnsi="仿宋" w:eastAsia="仿宋" w:cs="仿宋"/>
          <w:sz w:val="24"/>
          <w:szCs w:val="22"/>
        </w:rPr>
        <w:t>【】</w:t>
      </w:r>
    </w:p>
    <w:p w14:paraId="1B47577F">
      <w:pPr>
        <w:widowControl w:val="0"/>
        <w:spacing w:before="0" w:beforeLines="0" w:after="0" w:afterLines="0" w:line="576" w:lineRule="exact"/>
        <w:ind w:firstLine="560" w:firstLineChars="200"/>
        <w:jc w:val="both"/>
        <w:rPr>
          <w:rFonts w:ascii="仿宋" w:hAnsi="仿宋" w:eastAsia="仿宋" w:cs="仿宋"/>
          <w:color w:val="000000"/>
          <w:sz w:val="24"/>
        </w:rPr>
      </w:pPr>
      <w:r>
        <w:rPr>
          <w:rFonts w:hint="eastAsia" w:ascii="仿宋_GB2312" w:hAnsi="Times New Roman" w:eastAsia="仿宋_GB2312" w:cs="仿宋_GB2312"/>
          <w:color w:val="000000"/>
          <w:kern w:val="2"/>
          <w:sz w:val="28"/>
          <w:szCs w:val="28"/>
          <w:lang w:val="en-US" w:eastAsia="zh-CN" w:bidi="ar"/>
        </w:rPr>
        <w:t>鉴于</w:t>
      </w:r>
      <w:r>
        <w:rPr>
          <w:rFonts w:hint="eastAsia" w:ascii="仿宋_GB2312" w:hAnsi="Times New Roman" w:eastAsia="仿宋_GB2312" w:cs="仿宋_GB2312"/>
          <w:color w:val="000000"/>
          <w:kern w:val="2"/>
          <w:sz w:val="28"/>
          <w:szCs w:val="28"/>
          <w:lang w:bidi="ar"/>
        </w:rPr>
        <w:t>甲方将【】项目（以下简称“项目”）委托给乙方</w:t>
      </w:r>
      <w:r>
        <w:rPr>
          <w:rFonts w:hint="eastAsia" w:ascii="仿宋_GB2312" w:hAnsi="Times New Roman" w:eastAsia="仿宋_GB2312" w:cs="仿宋_GB2312"/>
          <w:color w:val="000000"/>
          <w:kern w:val="2"/>
          <w:sz w:val="28"/>
          <w:szCs w:val="28"/>
          <w:lang w:val="en-US" w:eastAsia="zh-CN" w:bidi="ar"/>
        </w:rPr>
        <w:t>建设</w:t>
      </w:r>
      <w:r>
        <w:rPr>
          <w:rFonts w:hint="eastAsia" w:ascii="仿宋_GB2312" w:hAnsi="Times New Roman" w:eastAsia="仿宋_GB2312" w:cs="仿宋_GB2312"/>
          <w:color w:val="000000"/>
          <w:kern w:val="2"/>
          <w:sz w:val="28"/>
          <w:szCs w:val="28"/>
          <w:lang w:eastAsia="zh-CN" w:bidi="ar"/>
        </w:rPr>
        <w:t>，</w:t>
      </w:r>
      <w:r>
        <w:rPr>
          <w:rFonts w:hint="eastAsia" w:ascii="仿宋_GB2312" w:hAnsi="Times New Roman" w:eastAsia="仿宋_GB2312" w:cs="仿宋_GB2312"/>
          <w:color w:val="000000"/>
          <w:kern w:val="2"/>
          <w:sz w:val="28"/>
          <w:szCs w:val="28"/>
          <w:lang w:val="en-US" w:eastAsia="zh-CN" w:bidi="ar"/>
        </w:rPr>
        <w:t>甲乙双方依据</w:t>
      </w:r>
      <w:r>
        <w:rPr>
          <w:rFonts w:hint="eastAsia" w:ascii="仿宋_GB2312" w:hAnsi="Times New Roman" w:eastAsia="仿宋_GB2312" w:cs="仿宋_GB2312"/>
          <w:color w:val="000000"/>
          <w:kern w:val="2"/>
          <w:sz w:val="28"/>
          <w:szCs w:val="28"/>
          <w:lang w:bidi="ar"/>
        </w:rPr>
        <w:t>《中华人民共和国民法典》及其他相关法律法规的规定，</w:t>
      </w:r>
      <w:r>
        <w:rPr>
          <w:rFonts w:hint="eastAsia" w:ascii="仿宋_GB2312" w:hAnsi="Times New Roman" w:eastAsia="仿宋_GB2312" w:cs="仿宋_GB2312"/>
          <w:color w:val="000000"/>
          <w:kern w:val="2"/>
          <w:sz w:val="28"/>
          <w:szCs w:val="28"/>
          <w:lang w:val="en-US" w:eastAsia="zh-CN" w:bidi="ar"/>
        </w:rPr>
        <w:t>经</w:t>
      </w:r>
      <w:r>
        <w:rPr>
          <w:rFonts w:hint="eastAsia" w:ascii="仿宋_GB2312" w:hAnsi="Times New Roman" w:eastAsia="仿宋_GB2312" w:cs="仿宋_GB2312"/>
          <w:color w:val="000000"/>
          <w:kern w:val="2"/>
          <w:sz w:val="28"/>
          <w:szCs w:val="28"/>
          <w:lang w:bidi="ar"/>
        </w:rPr>
        <w:t>友好协商，同意订立本合同，共同信守执行。</w:t>
      </w:r>
      <w:r>
        <w:rPr>
          <w:rFonts w:hint="eastAsia" w:ascii="仿宋" w:hAnsi="仿宋" w:eastAsia="仿宋" w:cs="仿宋"/>
          <w:color w:val="000000"/>
          <w:sz w:val="24"/>
        </w:rPr>
        <w:t xml:space="preserve"> </w:t>
      </w:r>
    </w:p>
    <w:p w14:paraId="7308FE61">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第一条  项目名称和内容</w:t>
      </w:r>
    </w:p>
    <w:p w14:paraId="47B289F0">
      <w:pPr>
        <w:tabs>
          <w:tab w:val="left" w:pos="4680"/>
        </w:tabs>
        <w:spacing w:before="0" w:beforeLines="0" w:after="0" w:afterLines="0" w:line="360" w:lineRule="auto"/>
        <w:ind w:firstLine="560" w:firstLineChars="200"/>
        <w:rPr>
          <w:rFonts w:hint="eastAsia" w:ascii="仿宋_GB2312" w:hAnsi="Times New Roman" w:eastAsia="仿宋_GB2312" w:cs="仿宋_GB2312"/>
          <w:color w:val="000000"/>
          <w:kern w:val="2"/>
          <w:sz w:val="28"/>
          <w:szCs w:val="28"/>
          <w:lang w:val="en-US" w:eastAsia="zh-CN" w:bidi="ar"/>
        </w:rPr>
      </w:pPr>
      <w:r>
        <w:rPr>
          <w:rFonts w:hint="eastAsia" w:ascii="仿宋_GB2312" w:hAnsi="Times New Roman" w:eastAsia="仿宋_GB2312" w:cs="仿宋_GB2312"/>
          <w:color w:val="000000"/>
          <w:kern w:val="2"/>
          <w:sz w:val="28"/>
          <w:szCs w:val="28"/>
          <w:lang w:bidi="ar"/>
        </w:rPr>
        <w:t>1.1 项目名称：</w:t>
      </w:r>
      <w:r>
        <w:rPr>
          <w:rFonts w:hint="eastAsia" w:ascii="仿宋_GB2312" w:hAnsi="Times New Roman" w:eastAsia="仿宋_GB2312" w:cs="仿宋_GB2312"/>
          <w:b w:val="0"/>
          <w:bCs w:val="0"/>
          <w:color w:val="000000"/>
          <w:kern w:val="2"/>
          <w:sz w:val="28"/>
          <w:szCs w:val="28"/>
          <w:lang w:val="en-US" w:eastAsia="zh-CN" w:bidi="ar"/>
        </w:rPr>
        <w:t>XXXX</w:t>
      </w:r>
    </w:p>
    <w:p w14:paraId="4DA6A2EB">
      <w:pPr>
        <w:widowControl w:val="0"/>
        <w:spacing w:before="0" w:beforeLines="0" w:after="0" w:afterLines="0" w:line="576" w:lineRule="exact"/>
        <w:ind w:firstLine="560" w:firstLineChars="200"/>
        <w:jc w:val="both"/>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1.2 服务内容：具体详见</w:t>
      </w:r>
      <w:r>
        <w:rPr>
          <w:rFonts w:hint="eastAsia" w:ascii="仿宋_GB2312" w:hAnsi="Times New Roman" w:eastAsia="仿宋_GB2312" w:cs="仿宋_GB2312"/>
          <w:b/>
          <w:bCs/>
          <w:color w:val="000000"/>
          <w:kern w:val="2"/>
          <w:sz w:val="28"/>
          <w:szCs w:val="28"/>
          <w:lang w:bidi="ar"/>
        </w:rPr>
        <w:t>附件一《</w:t>
      </w:r>
      <w:r>
        <w:rPr>
          <w:rFonts w:hint="eastAsia" w:ascii="仿宋_GB2312" w:hAnsi="Times New Roman" w:eastAsia="仿宋_GB2312" w:cs="仿宋_GB2312"/>
          <w:b/>
          <w:bCs/>
          <w:color w:val="000000"/>
          <w:kern w:val="2"/>
          <w:sz w:val="28"/>
          <w:szCs w:val="28"/>
          <w:lang w:val="en-US" w:eastAsia="zh-CN" w:bidi="ar"/>
        </w:rPr>
        <w:t>XXX软件项目</w:t>
      </w:r>
      <w:r>
        <w:rPr>
          <w:rFonts w:hint="eastAsia" w:ascii="仿宋_GB2312" w:hAnsi="Times New Roman" w:eastAsia="仿宋_GB2312" w:cs="仿宋_GB2312"/>
          <w:b/>
          <w:bCs/>
          <w:color w:val="000000"/>
          <w:kern w:val="2"/>
          <w:sz w:val="28"/>
          <w:szCs w:val="28"/>
          <w:lang w:bidi="ar"/>
        </w:rPr>
        <w:t>产品及服务清单》</w:t>
      </w:r>
      <w:r>
        <w:rPr>
          <w:rFonts w:hint="eastAsia" w:ascii="仿宋_GB2312" w:hAnsi="Times New Roman" w:eastAsia="仿宋_GB2312" w:cs="仿宋_GB2312"/>
          <w:color w:val="000000"/>
          <w:kern w:val="2"/>
          <w:sz w:val="28"/>
          <w:szCs w:val="28"/>
          <w:lang w:bidi="ar"/>
        </w:rPr>
        <w:t xml:space="preserve">。 </w:t>
      </w:r>
      <w:r>
        <w:rPr>
          <w:rFonts w:hint="eastAsia" w:ascii="仿宋" w:hAnsi="仿宋" w:eastAsia="仿宋" w:cs="仿宋"/>
          <w:color w:val="000000"/>
          <w:sz w:val="24"/>
        </w:rPr>
        <w:t xml:space="preserve"> </w:t>
      </w:r>
    </w:p>
    <w:p w14:paraId="3F033745">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第二条  项目履行期限、地点</w:t>
      </w:r>
    </w:p>
    <w:p w14:paraId="63DD97D6">
      <w:pPr>
        <w:widowControl w:val="0"/>
        <w:overflowPunct/>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 xml:space="preserve">2.1 履行期限 </w:t>
      </w:r>
    </w:p>
    <w:p w14:paraId="4B82D31F">
      <w:pPr>
        <w:widowControl w:val="0"/>
        <w:overflowPunct/>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为了保障项目的顺利进行，乙方应自本合同签署生效之日起【】日内完成本项目，具体按照下列进度计划完成工作：</w:t>
      </w:r>
    </w:p>
    <w:tbl>
      <w:tblPr>
        <w:tblStyle w:val="23"/>
        <w:tblW w:w="5325" w:type="pct"/>
        <w:tblInd w:w="-179" w:type="dxa"/>
        <w:tblLayout w:type="fixed"/>
        <w:tblCellMar>
          <w:top w:w="0" w:type="dxa"/>
          <w:left w:w="108" w:type="dxa"/>
          <w:bottom w:w="0" w:type="dxa"/>
          <w:right w:w="108" w:type="dxa"/>
        </w:tblCellMar>
      </w:tblPr>
      <w:tblGrid>
        <w:gridCol w:w="1775"/>
        <w:gridCol w:w="7301"/>
      </w:tblGrid>
      <w:tr w14:paraId="2D44CF4A">
        <w:tblPrEx>
          <w:tblCellMar>
            <w:top w:w="0" w:type="dxa"/>
            <w:left w:w="108" w:type="dxa"/>
            <w:bottom w:w="0" w:type="dxa"/>
            <w:right w:w="108" w:type="dxa"/>
          </w:tblCellMar>
        </w:tblPrEx>
        <w:trPr>
          <w:trHeight w:val="320" w:hRule="atLeast"/>
        </w:trPr>
        <w:tc>
          <w:tcPr>
            <w:tcW w:w="978" w:type="pct"/>
            <w:tcBorders>
              <w:top w:val="single" w:color="auto" w:sz="4" w:space="0"/>
              <w:left w:val="single" w:color="auto" w:sz="4" w:space="0"/>
              <w:bottom w:val="single" w:color="auto" w:sz="4" w:space="0"/>
              <w:right w:val="single" w:color="auto" w:sz="4" w:space="0"/>
            </w:tcBorders>
            <w:noWrap w:val="0"/>
            <w:vAlign w:val="center"/>
          </w:tcPr>
          <w:p w14:paraId="3FD15134">
            <w:pPr>
              <w:widowControl w:val="0"/>
              <w:spacing w:before="0" w:beforeLines="0" w:after="100" w:afterLines="0" w:afterAutospacing="1" w:line="576" w:lineRule="exact"/>
              <w:ind w:firstLine="0" w:firstLineChars="0"/>
              <w:jc w:val="center"/>
              <w:rPr>
                <w:rFonts w:ascii="仿宋" w:hAnsi="仿宋" w:eastAsia="仿宋" w:cs="仿宋"/>
                <w:color w:val="000000"/>
                <w:sz w:val="24"/>
                <w:szCs w:val="24"/>
              </w:rPr>
            </w:pPr>
            <w:r>
              <w:rPr>
                <w:rFonts w:hint="eastAsia" w:ascii="仿宋_GB2312" w:hAnsi="Times New Roman" w:eastAsia="仿宋_GB2312" w:cs="仿宋_GB2312"/>
                <w:color w:val="000000"/>
                <w:kern w:val="2"/>
                <w:sz w:val="24"/>
                <w:szCs w:val="24"/>
                <w:lang w:bidi="ar"/>
              </w:rPr>
              <w:t>项目关键节点</w:t>
            </w:r>
          </w:p>
        </w:tc>
        <w:tc>
          <w:tcPr>
            <w:tcW w:w="4022" w:type="pct"/>
            <w:tcBorders>
              <w:top w:val="single" w:color="auto" w:sz="4" w:space="0"/>
              <w:left w:val="nil"/>
              <w:bottom w:val="single" w:color="auto" w:sz="4" w:space="0"/>
              <w:right w:val="single" w:color="auto" w:sz="4" w:space="0"/>
            </w:tcBorders>
            <w:noWrap w:val="0"/>
            <w:vAlign w:val="center"/>
          </w:tcPr>
          <w:p w14:paraId="12B511ED">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时间节点</w:t>
            </w:r>
          </w:p>
        </w:tc>
      </w:tr>
      <w:tr w14:paraId="5AD219FD">
        <w:tblPrEx>
          <w:tblCellMar>
            <w:top w:w="0" w:type="dxa"/>
            <w:left w:w="108" w:type="dxa"/>
            <w:bottom w:w="0" w:type="dxa"/>
            <w:right w:w="108" w:type="dxa"/>
          </w:tblCellMar>
        </w:tblPrEx>
        <w:trPr>
          <w:trHeight w:val="320" w:hRule="atLeast"/>
        </w:trPr>
        <w:tc>
          <w:tcPr>
            <w:tcW w:w="978" w:type="pct"/>
            <w:tcBorders>
              <w:top w:val="single" w:color="auto" w:sz="4" w:space="0"/>
              <w:left w:val="single" w:color="auto" w:sz="4" w:space="0"/>
              <w:bottom w:val="single" w:color="auto" w:sz="4" w:space="0"/>
              <w:right w:val="single" w:color="auto" w:sz="4" w:space="0"/>
            </w:tcBorders>
            <w:noWrap w:val="0"/>
            <w:vAlign w:val="center"/>
          </w:tcPr>
          <w:p w14:paraId="394C6FA9">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初步验收</w:t>
            </w:r>
          </w:p>
        </w:tc>
        <w:tc>
          <w:tcPr>
            <w:tcW w:w="4022" w:type="pct"/>
            <w:tcBorders>
              <w:top w:val="single" w:color="auto" w:sz="4" w:space="0"/>
              <w:left w:val="nil"/>
              <w:bottom w:val="single" w:color="auto" w:sz="4" w:space="0"/>
              <w:right w:val="single" w:color="auto" w:sz="4" w:space="0"/>
            </w:tcBorders>
            <w:noWrap w:val="0"/>
            <w:vAlign w:val="center"/>
          </w:tcPr>
          <w:p w14:paraId="36248911">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合同签订生效之日起【】月内</w:t>
            </w:r>
          </w:p>
        </w:tc>
      </w:tr>
      <w:tr w14:paraId="3CB6E9BE">
        <w:tblPrEx>
          <w:tblCellMar>
            <w:top w:w="0" w:type="dxa"/>
            <w:left w:w="108" w:type="dxa"/>
            <w:bottom w:w="0" w:type="dxa"/>
            <w:right w:w="108" w:type="dxa"/>
          </w:tblCellMar>
        </w:tblPrEx>
        <w:trPr>
          <w:trHeight w:val="320" w:hRule="atLeast"/>
        </w:trPr>
        <w:tc>
          <w:tcPr>
            <w:tcW w:w="978" w:type="pct"/>
            <w:tcBorders>
              <w:top w:val="single" w:color="auto" w:sz="4" w:space="0"/>
              <w:left w:val="single" w:color="auto" w:sz="4" w:space="0"/>
              <w:bottom w:val="single" w:color="auto" w:sz="4" w:space="0"/>
              <w:right w:val="single" w:color="auto" w:sz="4" w:space="0"/>
            </w:tcBorders>
            <w:noWrap w:val="0"/>
            <w:vAlign w:val="center"/>
          </w:tcPr>
          <w:p w14:paraId="720B4EE7">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试运行</w:t>
            </w:r>
          </w:p>
        </w:tc>
        <w:tc>
          <w:tcPr>
            <w:tcW w:w="4022" w:type="pct"/>
            <w:tcBorders>
              <w:top w:val="single" w:color="auto" w:sz="4" w:space="0"/>
              <w:left w:val="nil"/>
              <w:bottom w:val="single" w:color="auto" w:sz="4" w:space="0"/>
              <w:right w:val="single" w:color="auto" w:sz="4" w:space="0"/>
            </w:tcBorders>
            <w:noWrap w:val="0"/>
            <w:vAlign w:val="center"/>
          </w:tcPr>
          <w:p w14:paraId="3A69B535">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初步验收通过之日起【】月</w:t>
            </w:r>
          </w:p>
        </w:tc>
      </w:tr>
      <w:tr w14:paraId="3F228431">
        <w:tblPrEx>
          <w:tblCellMar>
            <w:top w:w="0" w:type="dxa"/>
            <w:left w:w="108" w:type="dxa"/>
            <w:bottom w:w="0" w:type="dxa"/>
            <w:right w:w="108" w:type="dxa"/>
          </w:tblCellMar>
        </w:tblPrEx>
        <w:trPr>
          <w:trHeight w:val="856" w:hRule="atLeast"/>
        </w:trPr>
        <w:tc>
          <w:tcPr>
            <w:tcW w:w="978" w:type="pct"/>
            <w:tcBorders>
              <w:top w:val="single" w:color="auto" w:sz="4" w:space="0"/>
              <w:left w:val="single" w:color="auto" w:sz="4" w:space="0"/>
              <w:bottom w:val="single" w:color="auto" w:sz="4" w:space="0"/>
              <w:right w:val="single" w:color="auto" w:sz="4" w:space="0"/>
            </w:tcBorders>
            <w:noWrap w:val="0"/>
            <w:vAlign w:val="center"/>
          </w:tcPr>
          <w:p w14:paraId="0F277C55">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竣工验收</w:t>
            </w:r>
          </w:p>
        </w:tc>
        <w:tc>
          <w:tcPr>
            <w:tcW w:w="4022" w:type="pct"/>
            <w:tcBorders>
              <w:top w:val="single" w:color="auto" w:sz="4" w:space="0"/>
              <w:left w:val="nil"/>
              <w:bottom w:val="single" w:color="auto" w:sz="4" w:space="0"/>
              <w:right w:val="single" w:color="auto" w:sz="4" w:space="0"/>
            </w:tcBorders>
            <w:noWrap w:val="0"/>
            <w:vAlign w:val="center"/>
          </w:tcPr>
          <w:p w14:paraId="4CDB4D3A">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试运行结束且符合验收条件后【】日</w:t>
            </w:r>
          </w:p>
        </w:tc>
      </w:tr>
      <w:tr w14:paraId="1AD46F80">
        <w:tblPrEx>
          <w:tblCellMar>
            <w:top w:w="0" w:type="dxa"/>
            <w:left w:w="108" w:type="dxa"/>
            <w:bottom w:w="0" w:type="dxa"/>
            <w:right w:w="108" w:type="dxa"/>
          </w:tblCellMar>
        </w:tblPrEx>
        <w:trPr>
          <w:trHeight w:val="320" w:hRule="atLeast"/>
        </w:trPr>
        <w:tc>
          <w:tcPr>
            <w:tcW w:w="978" w:type="pct"/>
            <w:tcBorders>
              <w:top w:val="single" w:color="auto" w:sz="4" w:space="0"/>
              <w:left w:val="single" w:color="auto" w:sz="4" w:space="0"/>
              <w:bottom w:val="single" w:color="auto" w:sz="4" w:space="0"/>
              <w:right w:val="single" w:color="auto" w:sz="4" w:space="0"/>
            </w:tcBorders>
            <w:noWrap w:val="0"/>
            <w:vAlign w:val="center"/>
          </w:tcPr>
          <w:p w14:paraId="2F07E68B">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质保期</w:t>
            </w:r>
          </w:p>
        </w:tc>
        <w:tc>
          <w:tcPr>
            <w:tcW w:w="4022" w:type="pct"/>
            <w:tcBorders>
              <w:top w:val="single" w:color="auto" w:sz="4" w:space="0"/>
              <w:left w:val="nil"/>
              <w:bottom w:val="single" w:color="auto" w:sz="4" w:space="0"/>
              <w:right w:val="single" w:color="auto" w:sz="4" w:space="0"/>
            </w:tcBorders>
            <w:noWrap w:val="0"/>
            <w:vAlign w:val="center"/>
          </w:tcPr>
          <w:p w14:paraId="3D4731F5">
            <w:pPr>
              <w:widowControl w:val="0"/>
              <w:spacing w:before="0" w:beforeLines="0" w:after="100" w:afterLines="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竣工验收通过之日起【】年</w:t>
            </w:r>
          </w:p>
        </w:tc>
      </w:tr>
    </w:tbl>
    <w:p w14:paraId="1E1D7E56">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2.2 履行地点：甲方指定地点。</w:t>
      </w:r>
    </w:p>
    <w:p w14:paraId="409BF8E6">
      <w:pPr>
        <w:widowControl w:val="0"/>
        <w:spacing w:before="0" w:beforeLines="0" w:after="0" w:afterLines="0" w:line="576" w:lineRule="exact"/>
        <w:ind w:firstLine="560" w:firstLineChars="200"/>
        <w:jc w:val="both"/>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2.3 乙方每次履行或交付前，应提前</w:t>
      </w:r>
      <w:r>
        <w:rPr>
          <w:rFonts w:hint="eastAsia" w:ascii="仿宋_GB2312" w:hAnsi="Times New Roman" w:eastAsia="仿宋_GB2312" w:cs="仿宋_GB2312"/>
          <w:color w:val="000000"/>
          <w:kern w:val="2"/>
          <w:sz w:val="28"/>
          <w:szCs w:val="28"/>
          <w:lang w:val="en-US" w:eastAsia="zh-CN" w:bidi="ar"/>
        </w:rPr>
        <w:t>十</w:t>
      </w:r>
      <w:r>
        <w:rPr>
          <w:rFonts w:hint="eastAsia" w:ascii="仿宋_GB2312" w:hAnsi="Times New Roman" w:eastAsia="仿宋_GB2312" w:cs="仿宋_GB2312"/>
          <w:color w:val="000000"/>
          <w:kern w:val="2"/>
          <w:sz w:val="28"/>
          <w:szCs w:val="28"/>
          <w:lang w:bidi="ar"/>
        </w:rPr>
        <w:t>个工作日书面通知甲方，甲方应积极配合乙方的每次履行或交付，以便促成本合同项目的顺利完成。</w:t>
      </w:r>
    </w:p>
    <w:p w14:paraId="6B984269">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第三条  服务要求和服务方式</w:t>
      </w:r>
    </w:p>
    <w:p w14:paraId="4FCBDFDB">
      <w:pPr>
        <w:spacing w:before="0" w:beforeLines="0" w:after="0" w:afterLines="0" w:line="576" w:lineRule="exact"/>
        <w:ind w:firstLine="560" w:firstLineChars="200"/>
        <w:jc w:val="both"/>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3.1 服务方式及要求：具体详见</w:t>
      </w:r>
      <w:r>
        <w:rPr>
          <w:rFonts w:hint="eastAsia" w:ascii="仿宋_GB2312" w:hAnsi="Times New Roman" w:eastAsia="仿宋_GB2312" w:cs="仿宋_GB2312"/>
          <w:b/>
          <w:bCs/>
          <w:color w:val="000000"/>
          <w:kern w:val="2"/>
          <w:sz w:val="28"/>
          <w:szCs w:val="28"/>
          <w:lang w:bidi="ar"/>
        </w:rPr>
        <w:t>附件一《</w:t>
      </w:r>
      <w:r>
        <w:rPr>
          <w:rFonts w:hint="eastAsia" w:ascii="仿宋_GB2312" w:hAnsi="Times New Roman" w:eastAsia="仿宋_GB2312" w:cs="仿宋_GB2312"/>
          <w:b/>
          <w:bCs/>
          <w:color w:val="000000"/>
          <w:kern w:val="2"/>
          <w:sz w:val="28"/>
          <w:szCs w:val="28"/>
          <w:lang w:val="en-US" w:eastAsia="zh-CN" w:bidi="ar"/>
        </w:rPr>
        <w:t>XXX软件项目</w:t>
      </w:r>
      <w:r>
        <w:rPr>
          <w:rFonts w:hint="eastAsia" w:ascii="仿宋_GB2312" w:hAnsi="Times New Roman" w:eastAsia="仿宋_GB2312" w:cs="仿宋_GB2312"/>
          <w:b/>
          <w:bCs/>
          <w:color w:val="000000"/>
          <w:kern w:val="2"/>
          <w:sz w:val="28"/>
          <w:szCs w:val="28"/>
          <w:lang w:bidi="ar"/>
        </w:rPr>
        <w:t>产品及服务清单》</w:t>
      </w:r>
      <w:r>
        <w:rPr>
          <w:rFonts w:hint="eastAsia" w:ascii="仿宋_GB2312" w:hAnsi="Times New Roman" w:eastAsia="仿宋_GB2312" w:cs="仿宋_GB2312"/>
          <w:b w:val="0"/>
          <w:bCs w:val="0"/>
          <w:color w:val="000000"/>
          <w:kern w:val="2"/>
          <w:sz w:val="28"/>
          <w:szCs w:val="28"/>
          <w:lang w:bidi="ar"/>
        </w:rPr>
        <w:t>、</w:t>
      </w:r>
      <w:r>
        <w:rPr>
          <w:rFonts w:hint="eastAsia" w:ascii="仿宋_GB2312" w:hAnsi="Times New Roman" w:eastAsia="仿宋_GB2312" w:cs="仿宋_GB2312"/>
          <w:b/>
          <w:bCs/>
          <w:color w:val="000000"/>
          <w:kern w:val="2"/>
          <w:sz w:val="28"/>
          <w:szCs w:val="28"/>
          <w:lang w:eastAsia="zh-Hans" w:bidi="ar"/>
        </w:rPr>
        <w:t>附件</w:t>
      </w:r>
      <w:r>
        <w:rPr>
          <w:rFonts w:hint="eastAsia" w:ascii="仿宋_GB2312" w:hAnsi="Times New Roman" w:eastAsia="仿宋_GB2312" w:cs="仿宋_GB2312"/>
          <w:b/>
          <w:bCs/>
          <w:color w:val="000000"/>
          <w:kern w:val="2"/>
          <w:sz w:val="28"/>
          <w:szCs w:val="28"/>
          <w:lang w:bidi="ar"/>
        </w:rPr>
        <w:t>二《</w:t>
      </w:r>
      <w:r>
        <w:rPr>
          <w:rFonts w:hint="eastAsia" w:ascii="仿宋_GB2312" w:hAnsi="Times New Roman" w:eastAsia="仿宋_GB2312" w:cs="仿宋_GB2312"/>
          <w:b/>
          <w:bCs/>
          <w:color w:val="000000"/>
          <w:kern w:val="2"/>
          <w:sz w:val="28"/>
          <w:szCs w:val="28"/>
          <w:lang w:val="en-US" w:eastAsia="zh-CN" w:bidi="ar"/>
        </w:rPr>
        <w:t>系统</w:t>
      </w:r>
      <w:r>
        <w:rPr>
          <w:rFonts w:hint="eastAsia" w:ascii="仿宋_GB2312" w:hAnsi="Times New Roman" w:eastAsia="仿宋_GB2312" w:cs="仿宋_GB2312"/>
          <w:b/>
          <w:bCs/>
          <w:color w:val="000000"/>
          <w:kern w:val="2"/>
          <w:sz w:val="28"/>
          <w:szCs w:val="28"/>
          <w:lang w:bidi="ar"/>
        </w:rPr>
        <w:t>运维服务要求》</w:t>
      </w:r>
      <w:r>
        <w:rPr>
          <w:rFonts w:hint="eastAsia" w:ascii="仿宋_GB2312" w:hAnsi="Times New Roman" w:eastAsia="仿宋_GB2312" w:cs="仿宋_GB2312"/>
          <w:color w:val="000000"/>
          <w:kern w:val="2"/>
          <w:sz w:val="28"/>
          <w:szCs w:val="28"/>
          <w:lang w:bidi="ar"/>
        </w:rPr>
        <w:t>。</w:t>
      </w:r>
    </w:p>
    <w:p w14:paraId="491A4B83">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第四条  价款、支付方式及保函</w:t>
      </w:r>
    </w:p>
    <w:p w14:paraId="5500A4B1">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eastAsia="zh-CN" w:bidi="ar"/>
        </w:rPr>
      </w:pPr>
      <w:r>
        <w:rPr>
          <w:rFonts w:hint="eastAsia" w:ascii="仿宋_GB2312" w:hAnsi="Times New Roman" w:eastAsia="仿宋_GB2312" w:cs="仿宋_GB2312"/>
          <w:color w:val="000000"/>
          <w:kern w:val="2"/>
          <w:sz w:val="28"/>
          <w:szCs w:val="28"/>
          <w:lang w:bidi="ar"/>
        </w:rPr>
        <w:t>4.1 合同总价（含增值税）：¥</w:t>
      </w:r>
      <w:r>
        <w:rPr>
          <w:rFonts w:hint="eastAsia" w:ascii="仿宋_GB2312" w:hAnsi="Times New Roman" w:eastAsia="仿宋_GB2312" w:cs="仿宋_GB2312"/>
          <w:color w:val="000000"/>
          <w:kern w:val="2"/>
          <w:sz w:val="28"/>
          <w:szCs w:val="28"/>
          <w:u w:val="none"/>
          <w:lang w:bidi="ar"/>
        </w:rPr>
        <w:t xml:space="preserve">   </w:t>
      </w:r>
      <w:r>
        <w:rPr>
          <w:rFonts w:hint="eastAsia" w:ascii="仿宋_GB2312" w:hAnsi="Times New Roman" w:eastAsia="仿宋_GB2312" w:cs="仿宋_GB2312"/>
          <w:color w:val="000000"/>
          <w:kern w:val="2"/>
          <w:sz w:val="28"/>
          <w:szCs w:val="28"/>
          <w:lang w:bidi="ar"/>
        </w:rPr>
        <w:t>（大写：人民币</w:t>
      </w:r>
      <w:r>
        <w:rPr>
          <w:rFonts w:hint="eastAsia" w:ascii="仿宋_GB2312" w:hAnsi="Times New Roman" w:eastAsia="仿宋_GB2312" w:cs="仿宋_GB2312"/>
          <w:color w:val="000000"/>
          <w:kern w:val="2"/>
          <w:sz w:val="28"/>
          <w:szCs w:val="28"/>
          <w:u w:val="none"/>
          <w:lang w:bidi="ar"/>
        </w:rPr>
        <w:t xml:space="preserve">    </w:t>
      </w:r>
      <w:r>
        <w:rPr>
          <w:rFonts w:hint="eastAsia" w:ascii="仿宋_GB2312" w:hAnsi="Times New Roman" w:eastAsia="仿宋_GB2312" w:cs="仿宋_GB2312"/>
          <w:color w:val="000000"/>
          <w:kern w:val="2"/>
          <w:sz w:val="28"/>
          <w:szCs w:val="28"/>
          <w:lang w:bidi="ar"/>
        </w:rPr>
        <w:t>），不含税合同总价：¥</w:t>
      </w:r>
      <w:r>
        <w:rPr>
          <w:rFonts w:hint="eastAsia" w:ascii="仿宋_GB2312" w:hAnsi="Times New Roman" w:eastAsia="仿宋_GB2312" w:cs="仿宋_GB2312"/>
          <w:color w:val="000000"/>
          <w:kern w:val="2"/>
          <w:sz w:val="28"/>
          <w:szCs w:val="28"/>
          <w:u w:val="none"/>
          <w:lang w:bidi="ar"/>
        </w:rPr>
        <w:t xml:space="preserve">  </w:t>
      </w:r>
      <w:r>
        <w:rPr>
          <w:rFonts w:hint="eastAsia" w:ascii="仿宋_GB2312" w:hAnsi="Times New Roman" w:eastAsia="仿宋_GB2312" w:cs="仿宋_GB2312"/>
          <w:color w:val="000000"/>
          <w:kern w:val="2"/>
          <w:sz w:val="28"/>
          <w:szCs w:val="28"/>
          <w:lang w:bidi="ar"/>
        </w:rPr>
        <w:t>（大写：人民币</w:t>
      </w:r>
      <w:r>
        <w:rPr>
          <w:rFonts w:hint="eastAsia" w:ascii="仿宋_GB2312" w:hAnsi="Times New Roman" w:eastAsia="仿宋_GB2312" w:cs="仿宋_GB2312"/>
          <w:color w:val="000000"/>
          <w:kern w:val="2"/>
          <w:sz w:val="28"/>
          <w:szCs w:val="28"/>
          <w:u w:val="none"/>
          <w:lang w:bidi="ar"/>
        </w:rPr>
        <w:t xml:space="preserve"> </w:t>
      </w:r>
      <w:r>
        <w:rPr>
          <w:rFonts w:hint="eastAsia" w:ascii="仿宋_GB2312" w:hAnsi="Times New Roman" w:eastAsia="仿宋_GB2312" w:cs="仿宋_GB2312"/>
          <w:color w:val="000000"/>
          <w:kern w:val="2"/>
          <w:sz w:val="28"/>
          <w:szCs w:val="28"/>
          <w:u w:val="none"/>
          <w:lang w:val="en-US" w:eastAsia="zh-CN" w:bidi="ar"/>
        </w:rPr>
        <w:t xml:space="preserve">   </w:t>
      </w:r>
      <w:r>
        <w:rPr>
          <w:rFonts w:hint="eastAsia" w:ascii="仿宋_GB2312" w:hAnsi="Times New Roman" w:eastAsia="仿宋_GB2312" w:cs="仿宋_GB2312"/>
          <w:color w:val="000000"/>
          <w:kern w:val="2"/>
          <w:sz w:val="28"/>
          <w:szCs w:val="28"/>
          <w:lang w:bidi="ar"/>
        </w:rPr>
        <w:t>），增值税：¥</w:t>
      </w:r>
      <w:r>
        <w:rPr>
          <w:rFonts w:hint="eastAsia" w:ascii="仿宋_GB2312" w:hAnsi="Times New Roman" w:eastAsia="仿宋_GB2312" w:cs="仿宋_GB2312"/>
          <w:color w:val="000000"/>
          <w:kern w:val="2"/>
          <w:sz w:val="28"/>
          <w:szCs w:val="28"/>
          <w:u w:val="none"/>
          <w:lang w:bidi="ar"/>
        </w:rPr>
        <w:t xml:space="preserve">  </w:t>
      </w:r>
      <w:r>
        <w:rPr>
          <w:rFonts w:hint="eastAsia" w:ascii="仿宋_GB2312" w:hAnsi="Times New Roman" w:eastAsia="仿宋_GB2312" w:cs="仿宋_GB2312"/>
          <w:color w:val="000000"/>
          <w:kern w:val="2"/>
          <w:sz w:val="28"/>
          <w:szCs w:val="28"/>
          <w:lang w:bidi="ar"/>
        </w:rPr>
        <w:t>（大写：人民币</w:t>
      </w:r>
      <w:r>
        <w:rPr>
          <w:rFonts w:hint="eastAsia" w:ascii="仿宋_GB2312" w:hAnsi="Times New Roman" w:eastAsia="仿宋_GB2312" w:cs="仿宋_GB2312"/>
          <w:color w:val="000000"/>
          <w:kern w:val="2"/>
          <w:sz w:val="28"/>
          <w:szCs w:val="28"/>
          <w:u w:val="none"/>
          <w:lang w:bidi="ar"/>
        </w:rPr>
        <w:t xml:space="preserve">  </w:t>
      </w:r>
      <w:r>
        <w:rPr>
          <w:rFonts w:hint="eastAsia" w:ascii="仿宋_GB2312" w:hAnsi="Times New Roman" w:eastAsia="仿宋_GB2312" w:cs="仿宋_GB2312"/>
          <w:color w:val="000000"/>
          <w:kern w:val="2"/>
          <w:sz w:val="28"/>
          <w:szCs w:val="28"/>
          <w:lang w:bidi="ar"/>
        </w:rPr>
        <w:t>）</w:t>
      </w:r>
      <w:r>
        <w:rPr>
          <w:rFonts w:hint="eastAsia" w:ascii="仿宋_GB2312" w:hAnsi="Times New Roman" w:eastAsia="仿宋_GB2312" w:cs="仿宋_GB2312"/>
          <w:color w:val="000000"/>
          <w:kern w:val="2"/>
          <w:sz w:val="28"/>
          <w:szCs w:val="28"/>
          <w:lang w:eastAsia="zh-CN" w:bidi="ar"/>
        </w:rPr>
        <w:t>。</w:t>
      </w:r>
    </w:p>
    <w:p w14:paraId="14627F8C">
      <w:pPr>
        <w:widowControl w:val="0"/>
        <w:spacing w:before="0" w:beforeLines="0" w:after="0" w:afterLines="0" w:line="576" w:lineRule="exact"/>
        <w:ind w:firstLine="560" w:firstLineChars="200"/>
        <w:jc w:val="both"/>
        <w:rPr>
          <w:rFonts w:ascii="仿宋" w:hAnsi="仿宋" w:eastAsia="仿宋" w:cs="仿宋"/>
          <w:b/>
          <w:color w:val="000000"/>
          <w:sz w:val="24"/>
        </w:rPr>
      </w:pPr>
      <w:r>
        <w:rPr>
          <w:rFonts w:hint="eastAsia" w:ascii="仿宋_GB2312" w:hAnsi="Times New Roman" w:eastAsia="仿宋_GB2312" w:cs="仿宋_GB2312"/>
          <w:color w:val="000000"/>
          <w:kern w:val="2"/>
          <w:sz w:val="28"/>
          <w:szCs w:val="28"/>
          <w:lang w:bidi="ar"/>
        </w:rPr>
        <w:t>上述的合同总价已包括软件系统、设计开发、差旅、住宿、税金等本项目所涉及的所有费用。如果因国家税法相关规定增值税税率变动，本合同含税总金额不变（不含税价和增值税予以相应调整），并按含税总金额作为付款依据。</w:t>
      </w:r>
      <w:r>
        <w:rPr>
          <w:rFonts w:hint="eastAsia" w:ascii="仿宋_GB2312" w:hAnsi="Times New Roman" w:eastAsia="仿宋_GB2312" w:cs="仿宋_GB2312"/>
          <w:color w:val="000000"/>
          <w:kern w:val="2"/>
          <w:sz w:val="28"/>
          <w:szCs w:val="28"/>
          <w:lang w:eastAsia="zh-Hans" w:bidi="ar"/>
        </w:rPr>
        <w:t>除上述约定费用外，乙方无权要求甲方支付其他任何费用。</w:t>
      </w:r>
    </w:p>
    <w:p w14:paraId="4C40F93A">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4.2 付款比例及付款条件及保函</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437"/>
        <w:gridCol w:w="4368"/>
      </w:tblGrid>
      <w:tr w14:paraId="041A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A2FDA30">
            <w:pPr>
              <w:widowControl w:val="0"/>
              <w:spacing w:after="100" w:afterAutospacing="1" w:line="576" w:lineRule="exact"/>
              <w:jc w:val="center"/>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条目</w:t>
            </w:r>
          </w:p>
        </w:tc>
        <w:tc>
          <w:tcPr>
            <w:tcW w:w="2017" w:type="pct"/>
            <w:tcBorders>
              <w:top w:val="single" w:color="auto" w:sz="4" w:space="0"/>
              <w:left w:val="single" w:color="auto" w:sz="4" w:space="0"/>
              <w:bottom w:val="single" w:color="auto" w:sz="4" w:space="0"/>
              <w:right w:val="single" w:color="auto" w:sz="4" w:space="0"/>
            </w:tcBorders>
            <w:noWrap w:val="0"/>
            <w:vAlign w:val="center"/>
          </w:tcPr>
          <w:p w14:paraId="16629BD0">
            <w:pPr>
              <w:widowControl w:val="0"/>
              <w:spacing w:after="100" w:afterAutospacing="1" w:line="576" w:lineRule="exact"/>
              <w:jc w:val="center"/>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支付比例及金额</w:t>
            </w:r>
          </w:p>
        </w:tc>
        <w:tc>
          <w:tcPr>
            <w:tcW w:w="2563" w:type="pct"/>
            <w:tcBorders>
              <w:top w:val="single" w:color="auto" w:sz="4" w:space="0"/>
              <w:left w:val="single" w:color="auto" w:sz="4" w:space="0"/>
              <w:bottom w:val="single" w:color="auto" w:sz="4" w:space="0"/>
              <w:right w:val="single" w:color="auto" w:sz="4" w:space="0"/>
            </w:tcBorders>
            <w:noWrap w:val="0"/>
            <w:vAlign w:val="center"/>
          </w:tcPr>
          <w:p w14:paraId="5213FFDF">
            <w:pPr>
              <w:widowControl w:val="0"/>
              <w:spacing w:after="100" w:afterAutospacing="1" w:line="576" w:lineRule="exact"/>
              <w:jc w:val="center"/>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付款条件</w:t>
            </w:r>
          </w:p>
        </w:tc>
      </w:tr>
      <w:tr w14:paraId="5099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4DA39293">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1</w:t>
            </w:r>
          </w:p>
        </w:tc>
        <w:tc>
          <w:tcPr>
            <w:tcW w:w="2017" w:type="pct"/>
            <w:tcBorders>
              <w:top w:val="single" w:color="auto" w:sz="4" w:space="0"/>
              <w:left w:val="single" w:color="auto" w:sz="4" w:space="0"/>
              <w:bottom w:val="single" w:color="auto" w:sz="4" w:space="0"/>
              <w:right w:val="single" w:color="auto" w:sz="4" w:space="0"/>
            </w:tcBorders>
            <w:noWrap w:val="0"/>
            <w:vAlign w:val="center"/>
          </w:tcPr>
          <w:p w14:paraId="20392DE5">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进度款：合同总价的</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%，计人民币（大写）</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w:t>
            </w:r>
          </w:p>
        </w:tc>
        <w:tc>
          <w:tcPr>
            <w:tcW w:w="2563" w:type="pct"/>
            <w:tcBorders>
              <w:top w:val="single" w:color="auto" w:sz="4" w:space="0"/>
              <w:left w:val="single" w:color="auto" w:sz="4" w:space="0"/>
              <w:bottom w:val="single" w:color="auto" w:sz="4" w:space="0"/>
              <w:right w:val="single" w:color="auto" w:sz="4" w:space="0"/>
            </w:tcBorders>
            <w:noWrap w:val="0"/>
            <w:vAlign w:val="center"/>
          </w:tcPr>
          <w:p w14:paraId="246F4DE1">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合同生效，甲方收到并审核确认乙方提交的需求规格说明书、材料签收单（如有）与付款金额一致的付款申请、增值税专用发票、履约保函后30个工作日内。</w:t>
            </w:r>
          </w:p>
        </w:tc>
      </w:tr>
      <w:tr w14:paraId="25B2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099D9005">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3</w:t>
            </w:r>
          </w:p>
        </w:tc>
        <w:tc>
          <w:tcPr>
            <w:tcW w:w="2017" w:type="pct"/>
            <w:tcBorders>
              <w:top w:val="single" w:color="auto" w:sz="4" w:space="0"/>
              <w:left w:val="single" w:color="auto" w:sz="4" w:space="0"/>
              <w:bottom w:val="single" w:color="auto" w:sz="4" w:space="0"/>
              <w:right w:val="single" w:color="auto" w:sz="4" w:space="0"/>
            </w:tcBorders>
            <w:noWrap w:val="0"/>
            <w:vAlign w:val="center"/>
          </w:tcPr>
          <w:p w14:paraId="684E64C3">
            <w:pPr>
              <w:widowControl w:val="0"/>
              <w:wordWrap/>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进度款：合同总价的</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%，计人民币（大写）</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w:t>
            </w:r>
          </w:p>
        </w:tc>
        <w:tc>
          <w:tcPr>
            <w:tcW w:w="2563" w:type="pct"/>
            <w:tcBorders>
              <w:top w:val="single" w:color="auto" w:sz="4" w:space="0"/>
              <w:left w:val="single" w:color="auto" w:sz="4" w:space="0"/>
              <w:bottom w:val="single" w:color="auto" w:sz="4" w:space="0"/>
              <w:right w:val="single" w:color="auto" w:sz="4" w:space="0"/>
            </w:tcBorders>
            <w:noWrap w:val="0"/>
            <w:vAlign w:val="center"/>
          </w:tcPr>
          <w:p w14:paraId="0355A671">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乙方按本合同约定提供成品软件授权，完成硬件采购、安装、调试，完成全部软件开发及相应软硬件集成安装调试工作，项目通过</w:t>
            </w:r>
            <w:r>
              <w:rPr>
                <w:rFonts w:hint="eastAsia" w:ascii="仿宋_GB2312" w:hAnsi="Times New Roman" w:eastAsia="仿宋_GB2312" w:cs="仿宋_GB2312"/>
                <w:color w:val="000000"/>
                <w:kern w:val="2"/>
                <w:sz w:val="24"/>
                <w:szCs w:val="24"/>
                <w:lang w:eastAsia="zh-Hans" w:bidi="ar"/>
              </w:rPr>
              <w:t>甲方</w:t>
            </w:r>
            <w:r>
              <w:rPr>
                <w:rFonts w:hint="eastAsia" w:ascii="仿宋_GB2312" w:hAnsi="Times New Roman" w:eastAsia="仿宋_GB2312" w:cs="仿宋_GB2312"/>
                <w:color w:val="000000"/>
                <w:kern w:val="2"/>
                <w:sz w:val="24"/>
                <w:szCs w:val="24"/>
                <w:lang w:bidi="ar"/>
              </w:rPr>
              <w:t>初步验收，且</w:t>
            </w:r>
            <w:r>
              <w:rPr>
                <w:rFonts w:hint="eastAsia" w:ascii="仿宋_GB2312" w:hAnsi="Times New Roman" w:eastAsia="仿宋_GB2312" w:cs="仿宋_GB2312"/>
                <w:color w:val="000000"/>
                <w:kern w:val="2"/>
                <w:sz w:val="24"/>
                <w:szCs w:val="24"/>
                <w:lang w:eastAsia="zh-Hans" w:bidi="ar"/>
              </w:rPr>
              <w:t>甲方收到</w:t>
            </w:r>
            <w:r>
              <w:rPr>
                <w:rFonts w:hint="eastAsia" w:ascii="仿宋_GB2312" w:hAnsi="Times New Roman" w:eastAsia="仿宋_GB2312" w:cs="仿宋_GB2312"/>
                <w:color w:val="000000"/>
                <w:kern w:val="2"/>
                <w:sz w:val="24"/>
                <w:szCs w:val="24"/>
                <w:lang w:bidi="ar"/>
              </w:rPr>
              <w:t>并审核确认乙方提供</w:t>
            </w:r>
            <w:r>
              <w:rPr>
                <w:rFonts w:hint="eastAsia" w:ascii="仿宋_GB2312" w:hAnsi="Times New Roman" w:eastAsia="仿宋_GB2312" w:cs="仿宋_GB2312"/>
                <w:color w:val="000000"/>
                <w:kern w:val="2"/>
                <w:sz w:val="24"/>
                <w:szCs w:val="24"/>
                <w:lang w:eastAsia="zh-Hans" w:bidi="ar"/>
              </w:rPr>
              <w:t>的</w:t>
            </w:r>
            <w:r>
              <w:rPr>
                <w:rFonts w:hint="eastAsia" w:ascii="仿宋_GB2312" w:hAnsi="Times New Roman" w:eastAsia="仿宋_GB2312" w:cs="仿宋_GB2312"/>
                <w:color w:val="000000"/>
                <w:kern w:val="2"/>
                <w:sz w:val="24"/>
                <w:szCs w:val="24"/>
                <w:lang w:bidi="ar"/>
              </w:rPr>
              <w:t>增值税专用发票及付款申请书等付款材料后30个工作日内。</w:t>
            </w:r>
          </w:p>
        </w:tc>
      </w:tr>
      <w:tr w14:paraId="11C8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A4E95E1">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4</w:t>
            </w:r>
          </w:p>
        </w:tc>
        <w:tc>
          <w:tcPr>
            <w:tcW w:w="2017" w:type="pct"/>
            <w:tcBorders>
              <w:top w:val="single" w:color="auto" w:sz="4" w:space="0"/>
              <w:left w:val="single" w:color="auto" w:sz="4" w:space="0"/>
              <w:bottom w:val="single" w:color="auto" w:sz="4" w:space="0"/>
              <w:right w:val="single" w:color="auto" w:sz="4" w:space="0"/>
            </w:tcBorders>
            <w:noWrap w:val="0"/>
            <w:vAlign w:val="center"/>
          </w:tcPr>
          <w:p w14:paraId="4C37F63C">
            <w:pPr>
              <w:widowControl w:val="0"/>
              <w:wordWrap/>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进度款：合同总价的</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%，计人民币（大写）</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w:t>
            </w:r>
          </w:p>
        </w:tc>
        <w:tc>
          <w:tcPr>
            <w:tcW w:w="2563" w:type="pct"/>
            <w:tcBorders>
              <w:top w:val="single" w:color="auto" w:sz="4" w:space="0"/>
              <w:left w:val="single" w:color="auto" w:sz="4" w:space="0"/>
              <w:bottom w:val="single" w:color="auto" w:sz="4" w:space="0"/>
              <w:right w:val="single" w:color="auto" w:sz="4" w:space="0"/>
            </w:tcBorders>
            <w:noWrap w:val="0"/>
            <w:vAlign w:val="center"/>
          </w:tcPr>
          <w:p w14:paraId="4EB3DF02">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项目稳定通过试运行阶段，通过甲方竣工验收且甲方收到并审核确认乙方提供的增值税专用发票、质量保证金增值税专用发票及付款申请书等付款材料后30个工作日内。</w:t>
            </w:r>
          </w:p>
        </w:tc>
      </w:tr>
      <w:tr w14:paraId="3B19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2167028">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5</w:t>
            </w:r>
          </w:p>
        </w:tc>
        <w:tc>
          <w:tcPr>
            <w:tcW w:w="2017" w:type="pct"/>
            <w:tcBorders>
              <w:top w:val="single" w:color="auto" w:sz="4" w:space="0"/>
              <w:left w:val="single" w:color="auto" w:sz="4" w:space="0"/>
              <w:bottom w:val="single" w:color="auto" w:sz="4" w:space="0"/>
              <w:right w:val="single" w:color="auto" w:sz="4" w:space="0"/>
            </w:tcBorders>
            <w:noWrap w:val="0"/>
            <w:vAlign w:val="center"/>
          </w:tcPr>
          <w:p w14:paraId="07B995FA">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val="en-US" w:eastAsia="zh-CN" w:bidi="ar"/>
              </w:rPr>
              <w:t>尾款</w:t>
            </w:r>
            <w:r>
              <w:rPr>
                <w:rFonts w:hint="eastAsia" w:ascii="仿宋_GB2312" w:hAnsi="Times New Roman" w:eastAsia="仿宋_GB2312" w:cs="仿宋_GB2312"/>
                <w:color w:val="000000"/>
                <w:kern w:val="2"/>
                <w:sz w:val="24"/>
                <w:szCs w:val="24"/>
                <w:lang w:bidi="ar"/>
              </w:rPr>
              <w:t>：合同总价的</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%，计人民币（大写）</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w:t>
            </w:r>
            <w:r>
              <w:rPr>
                <w:rFonts w:hint="eastAsia" w:ascii="仿宋_GB2312" w:hAnsi="Times New Roman" w:eastAsia="仿宋_GB2312" w:cs="仿宋_GB2312"/>
                <w:color w:val="000000"/>
                <w:kern w:val="2"/>
                <w:sz w:val="24"/>
                <w:szCs w:val="24"/>
                <w:u w:val="none"/>
                <w:lang w:bidi="ar"/>
              </w:rPr>
              <w:t xml:space="preserve">    ）</w:t>
            </w:r>
            <w:r>
              <w:rPr>
                <w:rFonts w:hint="eastAsia" w:ascii="仿宋_GB2312" w:hAnsi="Times New Roman" w:eastAsia="仿宋_GB2312" w:cs="仿宋_GB2312"/>
                <w:color w:val="000000"/>
                <w:kern w:val="2"/>
                <w:sz w:val="24"/>
                <w:szCs w:val="24"/>
                <w:lang w:bidi="ar"/>
              </w:rPr>
              <w:t>。如发生扣除的，以实际余额为准。</w:t>
            </w:r>
          </w:p>
        </w:tc>
        <w:tc>
          <w:tcPr>
            <w:tcW w:w="2563" w:type="pct"/>
            <w:tcBorders>
              <w:top w:val="single" w:color="auto" w:sz="4" w:space="0"/>
              <w:left w:val="single" w:color="auto" w:sz="4" w:space="0"/>
              <w:bottom w:val="single" w:color="auto" w:sz="4" w:space="0"/>
              <w:right w:val="single" w:color="auto" w:sz="4" w:space="0"/>
            </w:tcBorders>
            <w:noWrap w:val="0"/>
            <w:vAlign w:val="center"/>
          </w:tcPr>
          <w:p w14:paraId="183591F5">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val="en-US" w:eastAsia="zh-CN" w:bidi="ar"/>
              </w:rPr>
              <w:t>运维</w:t>
            </w:r>
            <w:r>
              <w:rPr>
                <w:rFonts w:hint="eastAsia" w:ascii="仿宋_GB2312" w:hAnsi="Times New Roman" w:eastAsia="仿宋_GB2312" w:cs="仿宋_GB2312"/>
                <w:color w:val="000000"/>
                <w:kern w:val="2"/>
                <w:sz w:val="24"/>
                <w:szCs w:val="24"/>
                <w:lang w:bidi="ar"/>
              </w:rPr>
              <w:t>期届满，且甲方收到并审核确认乙方提供付款申请书等付款材料后30个工作日内。</w:t>
            </w:r>
          </w:p>
          <w:p w14:paraId="29E7471C">
            <w:pPr>
              <w:widowControl w:val="0"/>
              <w:spacing w:after="100" w:afterAutospacing="1" w:line="576" w:lineRule="exact"/>
              <w:jc w:val="center"/>
              <w:rPr>
                <w:rFonts w:hint="eastAsia" w:ascii="仿宋_GB2312" w:hAnsi="Times New Roman" w:eastAsia="仿宋_GB2312" w:cs="仿宋_GB2312"/>
                <w:color w:val="000000"/>
                <w:kern w:val="2"/>
                <w:sz w:val="24"/>
                <w:szCs w:val="24"/>
                <w:lang w:bidi="ar"/>
              </w:rPr>
            </w:pPr>
          </w:p>
        </w:tc>
      </w:tr>
    </w:tbl>
    <w:p w14:paraId="7E347243">
      <w:pPr>
        <w:widowControl w:val="0"/>
        <w:spacing w:before="0" w:beforeLines="0" w:after="0" w:afterLines="0" w:line="576" w:lineRule="exact"/>
        <w:ind w:firstLine="560" w:firstLineChars="200"/>
        <w:jc w:val="both"/>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4.</w:t>
      </w:r>
      <w:r>
        <w:rPr>
          <w:rFonts w:hint="eastAsia" w:ascii="仿宋_GB2312" w:hAnsi="Times New Roman" w:eastAsia="仿宋_GB2312" w:cs="仿宋_GB2312"/>
          <w:color w:val="000000"/>
          <w:kern w:val="2"/>
          <w:sz w:val="28"/>
          <w:szCs w:val="28"/>
          <w:lang w:val="en-US" w:eastAsia="zh-CN" w:bidi="ar"/>
        </w:rPr>
        <w:t>3</w:t>
      </w:r>
      <w:r>
        <w:rPr>
          <w:rFonts w:hint="eastAsia" w:ascii="仿宋_GB2312" w:hAnsi="Times New Roman" w:eastAsia="仿宋_GB2312" w:cs="仿宋_GB2312"/>
          <w:color w:val="000000"/>
          <w:kern w:val="2"/>
          <w:sz w:val="28"/>
          <w:szCs w:val="28"/>
          <w:lang w:bidi="ar"/>
        </w:rPr>
        <w:t>每次付款前，乙方应提交付款申请书及符合甲方要求的增值税发票，否则甲方有权延迟付款且不承担任何责任。付款材料经甲方审核确认后15个工作日内办理相应款项支付。若因资金申请、资金到位、审批程序等原因致使甲方无法按本合同约定期限进行支付，乙方理解并同意不追究甲方逾期付款的违约责任，就甲方逾期支付的合同款项，乙方不另行计算并收取利息、滞纳金、违约金等，且乙方不得以此为由影响项目建设进度。</w:t>
      </w:r>
    </w:p>
    <w:p w14:paraId="0FB1D68A">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第五条  双方职责</w:t>
      </w:r>
    </w:p>
    <w:p w14:paraId="57738240">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5.1 甲方职责</w:t>
      </w:r>
    </w:p>
    <w:p w14:paraId="214FB332">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5.1.1 向乙方阐明所要解决的项目需求要点，提供有关项目背景材料及有关基础项目需求等材料。</w:t>
      </w:r>
    </w:p>
    <w:p w14:paraId="4D2DCFE9">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5.1.2 为乙方开展服务提供必要的工作条件。</w:t>
      </w:r>
    </w:p>
    <w:p w14:paraId="20AA355F">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5.1.3 按照约定要求办理项目节点验收手续并按合同约定向乙方支付相应的合同款项。</w:t>
      </w:r>
    </w:p>
    <w:p w14:paraId="268985C3">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5.2 乙方职责</w:t>
      </w:r>
    </w:p>
    <w:p w14:paraId="2E5E6029">
      <w:pPr>
        <w:widowControl w:val="0"/>
        <w:spacing w:before="0" w:beforeLines="0" w:after="0" w:afterLines="0" w:line="576" w:lineRule="exact"/>
        <w:ind w:firstLine="560" w:firstLineChars="200"/>
        <w:jc w:val="both"/>
        <w:rPr>
          <w:rFonts w:hint="eastAsia" w:ascii="仿宋_GB2312" w:hAnsi="Times New Roman" w:eastAsia="仿宋_GB2312" w:cs="仿宋_GB2312"/>
          <w:bCs w:val="0"/>
          <w:color w:val="000000"/>
          <w:kern w:val="2"/>
          <w:sz w:val="28"/>
          <w:szCs w:val="28"/>
          <w:lang w:bidi="ar"/>
        </w:rPr>
      </w:pPr>
      <w:r>
        <w:rPr>
          <w:rFonts w:hint="eastAsia" w:ascii="仿宋_GB2312" w:hAnsi="Times New Roman" w:eastAsia="仿宋_GB2312" w:cs="仿宋_GB2312"/>
          <w:color w:val="000000"/>
          <w:kern w:val="2"/>
          <w:sz w:val="28"/>
          <w:szCs w:val="28"/>
          <w:lang w:bidi="ar"/>
        </w:rPr>
        <w:t>5.2.1 乙方应当</w:t>
      </w:r>
      <w:r>
        <w:rPr>
          <w:rFonts w:hint="eastAsia" w:ascii="仿宋_GB2312" w:hAnsi="Times New Roman" w:eastAsia="仿宋_GB2312" w:cs="仿宋_GB2312"/>
          <w:bCs w:val="0"/>
          <w:color w:val="000000"/>
          <w:kern w:val="2"/>
          <w:sz w:val="28"/>
          <w:szCs w:val="28"/>
          <w:lang w:bidi="ar"/>
        </w:rPr>
        <w:t>依照本合同第3.1条的要求尽职完成本项目所设各项工作，保障提供的产品和服务质量满足本合同第六条约定的质量和技术标准。</w:t>
      </w:r>
    </w:p>
    <w:p w14:paraId="75D4097E">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5.2.2 与甲方及时沟通，提供有效培训和优质的运维服务及技术支持，并向甲方提出合理化建议，勤勉地履行合同义务，维护甲方利益。</w:t>
      </w:r>
    </w:p>
    <w:p w14:paraId="5CF8464C">
      <w:pPr>
        <w:widowControl w:val="0"/>
        <w:spacing w:before="0" w:beforeLines="0" w:after="0" w:afterLines="0" w:line="576" w:lineRule="exact"/>
        <w:ind w:firstLine="560" w:firstLineChars="200"/>
        <w:jc w:val="both"/>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5.2.3 乙方应在本合同生效之日起【10】个工作日内。根据本合同第2.1条约定的履行期限，向甲方提交详细的工作方案和进度计划供甲方审核确认，并作为甲方监督乙方工作进度的依据。乙方应依照本合同所约定的时间进度计划按时完成各阶段工作并达到各阶段工作目标。非经甲方书面同意，乙方提交的工作方案和进度计划中与本合同第2.1条约定的履行期限要求存在冲突时，以本合同2.1条的约定为准。</w:t>
      </w:r>
    </w:p>
    <w:p w14:paraId="72597D63">
      <w:pPr>
        <w:widowControl w:val="0"/>
        <w:spacing w:before="0" w:beforeLines="0" w:after="0" w:afterLines="0" w:line="576" w:lineRule="exact"/>
        <w:ind w:firstLine="560" w:firstLineChars="200"/>
        <w:jc w:val="both"/>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5.2.4 乙方应任命合格、有经验、具备相应资质的人员（详见</w:t>
      </w:r>
      <w:r>
        <w:rPr>
          <w:rFonts w:hint="eastAsia" w:ascii="仿宋_GB2312" w:hAnsi="Times New Roman" w:eastAsia="仿宋_GB2312" w:cs="仿宋_GB2312"/>
          <w:b w:val="0"/>
          <w:bCs w:val="0"/>
          <w:color w:val="000000"/>
          <w:kern w:val="2"/>
          <w:sz w:val="28"/>
          <w:szCs w:val="28"/>
          <w:lang w:val="zh-CN" w:bidi="ar"/>
        </w:rPr>
        <w:t>附件</w:t>
      </w:r>
      <w:r>
        <w:rPr>
          <w:rFonts w:hint="eastAsia" w:ascii="仿宋_GB2312" w:hAnsi="Times New Roman" w:eastAsia="仿宋_GB2312" w:cs="仿宋_GB2312"/>
          <w:b w:val="0"/>
          <w:bCs w:val="0"/>
          <w:color w:val="000000"/>
          <w:kern w:val="2"/>
          <w:sz w:val="28"/>
          <w:szCs w:val="28"/>
          <w:lang w:bidi="ar"/>
        </w:rPr>
        <w:t>三《项目人员信息表》</w:t>
      </w:r>
      <w:r>
        <w:rPr>
          <w:rFonts w:hint="eastAsia" w:ascii="仿宋_GB2312" w:hAnsi="Times New Roman" w:eastAsia="仿宋_GB2312" w:cs="仿宋_GB2312"/>
          <w:color w:val="000000"/>
          <w:kern w:val="2"/>
          <w:sz w:val="28"/>
          <w:szCs w:val="28"/>
          <w:lang w:bidi="ar"/>
        </w:rPr>
        <w:t>）完成合同所约定的工作内容及目标，不得随意更换；如经甲方事先书面同意或确因实际困难（如相关员工离职、伤亡、调岗等类似情形）需要更换人员的，乙方需提供同等技术资质和能力的人员并经甲方认可。</w:t>
      </w:r>
    </w:p>
    <w:p w14:paraId="1B3546A1">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第六条  质量标准、保证</w:t>
      </w:r>
    </w:p>
    <w:p w14:paraId="3A2CCE98">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1</w:t>
      </w:r>
      <w:r>
        <w:rPr>
          <w:rFonts w:hint="eastAsia" w:ascii="仿宋_GB2312" w:hAnsi="Times New Roman" w:eastAsia="仿宋_GB2312" w:cs="仿宋_GB2312"/>
          <w:color w:val="000000"/>
          <w:kern w:val="2"/>
          <w:sz w:val="28"/>
          <w:szCs w:val="28"/>
          <w:lang w:bidi="ar"/>
        </w:rPr>
        <w:t xml:space="preserve"> 软件</w:t>
      </w:r>
      <w:r>
        <w:rPr>
          <w:rFonts w:hint="eastAsia" w:ascii="仿宋_GB2312" w:hAnsi="Times New Roman" w:eastAsia="仿宋_GB2312" w:cs="仿宋_GB2312"/>
          <w:color w:val="000000"/>
          <w:kern w:val="2"/>
          <w:sz w:val="28"/>
          <w:szCs w:val="28"/>
          <w:lang w:val="en-US" w:eastAsia="zh-CN" w:bidi="ar"/>
        </w:rPr>
        <w:t>产品</w:t>
      </w:r>
      <w:r>
        <w:rPr>
          <w:rFonts w:hint="eastAsia" w:ascii="仿宋_GB2312" w:hAnsi="Times New Roman" w:eastAsia="仿宋_GB2312" w:cs="仿宋_GB2312"/>
          <w:color w:val="000000"/>
          <w:kern w:val="2"/>
          <w:sz w:val="28"/>
          <w:szCs w:val="28"/>
          <w:lang w:bidi="ar"/>
        </w:rPr>
        <w:t>许可及开发</w:t>
      </w:r>
    </w:p>
    <w:p w14:paraId="2A1347C4">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1</w:t>
      </w:r>
      <w:r>
        <w:rPr>
          <w:rFonts w:hint="eastAsia" w:ascii="仿宋_GB2312" w:hAnsi="Times New Roman" w:eastAsia="仿宋_GB2312" w:cs="仿宋_GB2312"/>
          <w:color w:val="000000"/>
          <w:kern w:val="2"/>
          <w:sz w:val="28"/>
          <w:szCs w:val="28"/>
          <w:lang w:bidi="ar"/>
        </w:rPr>
        <w:t>.1 乙方提供或开发的软件系统应当满足甲方要求，符合项目建设目的要求，达到乙方</w:t>
      </w:r>
      <w:r>
        <w:rPr>
          <w:rFonts w:hint="eastAsia" w:ascii="仿宋_GB2312" w:eastAsia="仿宋_GB2312" w:cs="仿宋_GB2312"/>
          <w:color w:val="000000"/>
          <w:kern w:val="2"/>
          <w:sz w:val="28"/>
          <w:szCs w:val="28"/>
          <w:lang w:val="en-US" w:eastAsia="zh-CN" w:bidi="ar"/>
        </w:rPr>
        <w:t>响应</w:t>
      </w:r>
      <w:r>
        <w:rPr>
          <w:rFonts w:hint="eastAsia" w:ascii="仿宋_GB2312" w:hAnsi="Times New Roman" w:eastAsia="仿宋_GB2312" w:cs="仿宋_GB2312"/>
          <w:color w:val="000000"/>
          <w:kern w:val="2"/>
          <w:sz w:val="28"/>
          <w:szCs w:val="28"/>
          <w:lang w:bidi="ar"/>
        </w:rPr>
        <w:t>文件及技术澄清中的技术标准，同时应当符合强制性国家标准、地方标准、行业标准以及相关软件的出厂标准（以较高为准）；约定不明确，且在本领域内无国家、地方或行业标准的，应当由双方协商解决，以书面方式进行确认并遵照本项目的目的执行。</w:t>
      </w:r>
    </w:p>
    <w:p w14:paraId="190288BD">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1</w:t>
      </w:r>
      <w:r>
        <w:rPr>
          <w:rFonts w:hint="eastAsia" w:ascii="仿宋_GB2312" w:hAnsi="Times New Roman" w:eastAsia="仿宋_GB2312" w:cs="仿宋_GB2312"/>
          <w:color w:val="000000"/>
          <w:kern w:val="2"/>
          <w:sz w:val="28"/>
          <w:szCs w:val="28"/>
          <w:lang w:bidi="ar"/>
        </w:rPr>
        <w:t>.2 乙方保证对其所许可甲方使用的软件系统具有合法的软件著作权或使用权，具有对甲方许可使用的权利，且</w:t>
      </w:r>
      <w:r>
        <w:rPr>
          <w:rFonts w:hint="eastAsia" w:ascii="仿宋_GB2312" w:hAnsi="Times New Roman" w:eastAsia="仿宋_GB2312" w:cs="仿宋_GB2312"/>
          <w:color w:val="000000"/>
          <w:kern w:val="2"/>
          <w:sz w:val="28"/>
          <w:szCs w:val="28"/>
          <w:lang w:eastAsia="zh-Hans" w:bidi="ar"/>
        </w:rPr>
        <w:t>确保</w:t>
      </w:r>
      <w:r>
        <w:rPr>
          <w:rFonts w:hint="eastAsia" w:ascii="仿宋_GB2312" w:hAnsi="Times New Roman" w:eastAsia="仿宋_GB2312" w:cs="仿宋_GB2312"/>
          <w:color w:val="000000"/>
          <w:kern w:val="2"/>
          <w:sz w:val="28"/>
          <w:szCs w:val="28"/>
          <w:lang w:bidi="ar"/>
        </w:rPr>
        <w:t>甲方按照合同约定持续地合法使用软件系统，享受售后系统维护、升级服务。</w:t>
      </w:r>
    </w:p>
    <w:p w14:paraId="05DF01F5">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1</w:t>
      </w:r>
      <w:r>
        <w:rPr>
          <w:rFonts w:hint="eastAsia" w:ascii="仿宋_GB2312" w:hAnsi="Times New Roman" w:eastAsia="仿宋_GB2312" w:cs="仿宋_GB2312"/>
          <w:color w:val="000000"/>
          <w:kern w:val="2"/>
          <w:sz w:val="28"/>
          <w:szCs w:val="28"/>
          <w:lang w:bidi="ar"/>
        </w:rPr>
        <w:t>.3 乙方保证其开发的软件系统不侵犯任何第三方的软件著作权或其他相关在先权利，</w:t>
      </w:r>
      <w:r>
        <w:rPr>
          <w:rFonts w:hint="eastAsia" w:ascii="仿宋_GB2312" w:hAnsi="Times New Roman" w:eastAsia="仿宋_GB2312" w:cs="仿宋_GB2312"/>
          <w:color w:val="000000"/>
          <w:kern w:val="2"/>
          <w:sz w:val="28"/>
          <w:szCs w:val="28"/>
          <w:lang w:eastAsia="zh-Hans" w:bidi="ar"/>
        </w:rPr>
        <w:t>确保</w:t>
      </w:r>
      <w:r>
        <w:rPr>
          <w:rFonts w:hint="eastAsia" w:ascii="仿宋_GB2312" w:hAnsi="Times New Roman" w:eastAsia="仿宋_GB2312" w:cs="仿宋_GB2312"/>
          <w:color w:val="000000"/>
          <w:kern w:val="2"/>
          <w:sz w:val="28"/>
          <w:szCs w:val="28"/>
          <w:lang w:bidi="ar"/>
        </w:rPr>
        <w:t>甲方按照合同约定持续地合法使用软件系统，且在甲方所在地应按照合同约定向甲方提供系统维护服务。</w:t>
      </w:r>
    </w:p>
    <w:p w14:paraId="74AAB571">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1</w:t>
      </w:r>
      <w:r>
        <w:rPr>
          <w:rFonts w:hint="eastAsia" w:ascii="仿宋_GB2312" w:hAnsi="Times New Roman" w:eastAsia="仿宋_GB2312" w:cs="仿宋_GB2312"/>
          <w:color w:val="000000"/>
          <w:kern w:val="2"/>
          <w:sz w:val="28"/>
          <w:szCs w:val="28"/>
          <w:lang w:bidi="ar"/>
        </w:rPr>
        <w:t>.4 乙方保证其提供或开发的软件系统符合国家关于隐私权保护和数据安全的相关法律法规，包括但不限于《中华人民共和国个人信息保护法》《中华人民共和国数据安全法》《规范互联网信息服务市场秩序若干规定》等相关法律法规，能够通过相关网络安全、商业密码等审查及备案。</w:t>
      </w:r>
    </w:p>
    <w:p w14:paraId="40C8F264">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1</w:t>
      </w:r>
      <w:r>
        <w:rPr>
          <w:rFonts w:hint="eastAsia" w:ascii="仿宋_GB2312" w:hAnsi="Times New Roman" w:eastAsia="仿宋_GB2312" w:cs="仿宋_GB2312"/>
          <w:color w:val="000000"/>
          <w:kern w:val="2"/>
          <w:sz w:val="28"/>
          <w:szCs w:val="28"/>
          <w:lang w:bidi="ar"/>
        </w:rPr>
        <w:t>.5.乙方保证其提供或开发的软件应符合国家有关软件产品方面的规定和软件标准规范，不得包含任何可以自动终止或妨碍系统运作的软件。</w:t>
      </w:r>
    </w:p>
    <w:p w14:paraId="7380D53B">
      <w:pPr>
        <w:spacing w:before="0" w:beforeLines="0" w:after="0" w:afterLines="0" w:line="576" w:lineRule="exact"/>
        <w:ind w:firstLine="560"/>
        <w:rPr>
          <w:rStyle w:val="29"/>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1</w:t>
      </w:r>
      <w:r>
        <w:rPr>
          <w:rFonts w:hint="eastAsia" w:ascii="仿宋_GB2312" w:hAnsi="Times New Roman" w:eastAsia="仿宋_GB2312" w:cs="仿宋_GB2312"/>
          <w:color w:val="000000"/>
          <w:kern w:val="2"/>
          <w:sz w:val="28"/>
          <w:szCs w:val="28"/>
          <w:lang w:bidi="ar"/>
        </w:rPr>
        <w:t>.6 对于成品软件，乙方提供软件授权书，授权期限为永久。</w:t>
      </w:r>
    </w:p>
    <w:p w14:paraId="16184510">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2</w:t>
      </w:r>
      <w:r>
        <w:rPr>
          <w:rFonts w:hint="eastAsia" w:ascii="仿宋_GB2312" w:hAnsi="Times New Roman" w:eastAsia="仿宋_GB2312" w:cs="仿宋_GB2312"/>
          <w:color w:val="000000"/>
          <w:kern w:val="2"/>
          <w:sz w:val="28"/>
          <w:szCs w:val="28"/>
          <w:lang w:bidi="ar"/>
        </w:rPr>
        <w:t xml:space="preserve"> 集成服务</w:t>
      </w:r>
    </w:p>
    <w:p w14:paraId="4F9B43E3">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2</w:t>
      </w:r>
      <w:r>
        <w:rPr>
          <w:rFonts w:hint="eastAsia" w:ascii="仿宋_GB2312" w:hAnsi="Times New Roman" w:eastAsia="仿宋_GB2312" w:cs="仿宋_GB2312"/>
          <w:color w:val="000000"/>
          <w:kern w:val="2"/>
          <w:sz w:val="28"/>
          <w:szCs w:val="28"/>
          <w:lang w:bidi="ar"/>
        </w:rPr>
        <w:t>.1 乙方提供的集成服务应当满足甲方要求，符合项目建设目的要求，达到乙方投</w:t>
      </w:r>
      <w:r>
        <w:rPr>
          <w:rFonts w:hint="eastAsia" w:ascii="仿宋_GB2312" w:eastAsia="仿宋_GB2312" w:cs="仿宋_GB2312"/>
          <w:color w:val="000000"/>
          <w:kern w:val="2"/>
          <w:sz w:val="28"/>
          <w:szCs w:val="28"/>
          <w:lang w:val="en-US" w:eastAsia="zh-CN" w:bidi="ar"/>
        </w:rPr>
        <w:t>响应</w:t>
      </w:r>
      <w:r>
        <w:rPr>
          <w:rFonts w:hint="eastAsia" w:ascii="仿宋_GB2312" w:hAnsi="Times New Roman" w:eastAsia="仿宋_GB2312" w:cs="仿宋_GB2312"/>
          <w:color w:val="000000"/>
          <w:kern w:val="2"/>
          <w:sz w:val="28"/>
          <w:szCs w:val="28"/>
          <w:lang w:bidi="ar"/>
        </w:rPr>
        <w:t>文件及技术澄清中的技术标准。约定不明确，且在本领域内无国家、地方或行业标准的，应当由双方协商解决，以书面方式进行确认并遵照本项目的执行。</w:t>
      </w:r>
    </w:p>
    <w:p w14:paraId="7610258B">
      <w:pPr>
        <w:spacing w:before="0" w:beforeLines="0" w:after="0" w:afterLines="0" w:line="576" w:lineRule="exact"/>
        <w:ind w:firstLine="560" w:firstLineChars="200"/>
        <w:rPr>
          <w:rStyle w:val="29"/>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6.</w:t>
      </w:r>
      <w:r>
        <w:rPr>
          <w:rFonts w:hint="eastAsia" w:ascii="仿宋_GB2312" w:hAnsi="Times New Roman" w:eastAsia="仿宋_GB2312" w:cs="仿宋_GB2312"/>
          <w:color w:val="000000"/>
          <w:kern w:val="2"/>
          <w:sz w:val="28"/>
          <w:szCs w:val="28"/>
          <w:lang w:val="en-US" w:eastAsia="zh-CN" w:bidi="ar"/>
        </w:rPr>
        <w:t>2</w:t>
      </w:r>
      <w:r>
        <w:rPr>
          <w:rFonts w:hint="eastAsia" w:ascii="仿宋_GB2312" w:hAnsi="Times New Roman" w:eastAsia="仿宋_GB2312" w:cs="仿宋_GB2312"/>
          <w:color w:val="000000"/>
          <w:kern w:val="2"/>
          <w:sz w:val="28"/>
          <w:szCs w:val="28"/>
          <w:lang w:bidi="ar"/>
        </w:rPr>
        <w:t>.2 乙方应当保障软硬件及相关线路布局设计合理，保障软硬系统运行安全、稳定、流畅。</w:t>
      </w:r>
    </w:p>
    <w:p w14:paraId="6DEE15BB">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bookmarkStart w:id="212" w:name="_Toc134279378"/>
      <w:r>
        <w:rPr>
          <w:rFonts w:hint="eastAsia" w:ascii="仿宋_GB2312" w:hAnsi="Times New Roman" w:eastAsia="仿宋_GB2312" w:cs="仿宋_GB2312"/>
          <w:b/>
          <w:bCs/>
          <w:color w:val="000000"/>
          <w:kern w:val="2"/>
          <w:sz w:val="28"/>
          <w:szCs w:val="28"/>
          <w:lang w:bidi="ar"/>
        </w:rPr>
        <w:t>第七条  数据合规与个人信息保护</w:t>
      </w:r>
      <w:bookmarkEnd w:id="212"/>
    </w:p>
    <w:p w14:paraId="4FB2A669">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7.1本合同项下，双方清楚明白，对本项目所收集的数据负有安全和合规使用的义务。</w:t>
      </w:r>
    </w:p>
    <w:p w14:paraId="3EB37433">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7.2 乙方经甲方书面同意后，可通过软件收集一些必要的使用统计数据，用于检测软件的运行状况或统计报错情况等。</w:t>
      </w:r>
    </w:p>
    <w:p w14:paraId="495337FF">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7.3乙方应当按照《中华人民共和国数据安全法》《中华人民共和国个人信息保护法》等法律法规、监管要求和合同约定处理个人信息和数据，不得超出约定的处理目的、处理方式等处理。乙方应当采取措施确保个人信息和数据处理活动符合法律法规、监管要求和合同约定，防止未经授权的访问以及个人信息和数据的泄露、篡改、丢失。</w:t>
      </w:r>
    </w:p>
    <w:p w14:paraId="13982004">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7.4如果合同不生效、无效、被撤销或者终止的，一方应当按照另一方的要求返还另一方提供的个人信息和数据或者予以删除(包括原件和备份)，且不得以任何方式留存履行合同过程中所处理的任何个人信息和数据。</w:t>
      </w:r>
    </w:p>
    <w:p w14:paraId="6E8566C4">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7.5未经甲方书面同意,乙方不得转委托他人处理个人信息和数据。经甲方书面同意的，乙方应当在委托前将相关服务商信息向甲方书面披露。服务商的名单或者数据处理的内容如有变更，乙方须书面形式告知甲方。</w:t>
      </w:r>
    </w:p>
    <w:p w14:paraId="266B0CA1">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7.6乙方受甲方委托处理的个人信息和数据，应当在中华人民共和国境内存储，且不得向境外提供。</w:t>
      </w:r>
    </w:p>
    <w:p w14:paraId="09A52616">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7.7在发生或者可能发生个人信息泄露、毁损、丢失或其他数据安全事件的情况时，乙方应当立即采取补救措施并通知甲方，同时配合甲方及相关部门进行调查处理。</w:t>
      </w:r>
    </w:p>
    <w:p w14:paraId="3415DBEF">
      <w:pPr>
        <w:spacing w:before="0" w:beforeLines="0" w:after="0" w:afterLines="0" w:line="576" w:lineRule="exact"/>
        <w:ind w:firstLine="560"/>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7.8 甲方需要在本项目上线前，提供相应的客户隐私保护协议或者类似的用户权益保护法律文件（下称“用户协议”），用于在收集用户个人信息之前，对用户进行告知和披露。用户协议的内容包括但不限于：（1）信息收集的目的；（2）保存的期限；（3）用户查看、修改、删除个人信息或账户的方式等必要内容。乙方应协助甲方完成用户协议编制。</w:t>
      </w:r>
    </w:p>
    <w:p w14:paraId="2CC7F57A">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第八条 验收</w:t>
      </w:r>
    </w:p>
    <w:p w14:paraId="65A0E426">
      <w:pPr>
        <w:spacing w:before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8.1 验收标准以本合同第六条的相关约定为准。</w:t>
      </w:r>
    </w:p>
    <w:p w14:paraId="0EE6BFE5">
      <w:pPr>
        <w:spacing w:beforeLines="0" w:line="576" w:lineRule="exact"/>
        <w:ind w:firstLine="560" w:firstLineChars="0"/>
        <w:rPr>
          <w:rFonts w:hint="eastAsia" w:ascii="仿宋_GB2312" w:hAnsi="Times New Roman" w:eastAsia="仿宋_GB2312" w:cs="仿宋_GB2312"/>
          <w:bCs w:val="0"/>
          <w:color w:val="000000"/>
          <w:kern w:val="2"/>
          <w:sz w:val="28"/>
          <w:szCs w:val="28"/>
          <w:lang w:bidi="ar"/>
        </w:rPr>
      </w:pPr>
      <w:r>
        <w:rPr>
          <w:rFonts w:hint="eastAsia" w:ascii="仿宋_GB2312" w:hAnsi="Times New Roman" w:eastAsia="仿宋_GB2312" w:cs="仿宋_GB2312"/>
          <w:bCs w:val="0"/>
          <w:color w:val="000000"/>
          <w:kern w:val="2"/>
          <w:sz w:val="28"/>
          <w:szCs w:val="28"/>
          <w:lang w:bidi="ar"/>
        </w:rPr>
        <w:t>8.2 验收程序</w:t>
      </w:r>
    </w:p>
    <w:p w14:paraId="3D27B780">
      <w:pPr>
        <w:spacing w:before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8.2.1 完成本合同第1.2条等条款约定的服务内容后，乙方向甲方提出书面的初步验收申请，甲方在15个工作日内组织项目初验。</w:t>
      </w:r>
    </w:p>
    <w:p w14:paraId="3DDF5137">
      <w:pPr>
        <w:spacing w:before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8.2.2 项目初步验收通过后，项目进入试运行阶段，试运行期内，乙方应当指派相关服务团队负责对项目进行优化完善，解决项目试运行过程中出现的问题，协助甲方推广、应用项目。</w:t>
      </w:r>
    </w:p>
    <w:p w14:paraId="457C6090">
      <w:pPr>
        <w:spacing w:before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8.2.3 试运行期满后，乙方向甲方提出书面的竣工验收申请，甲方在收到竣工验收申请之日起15个工作日内组织项目竣工验收，项目竣工验收通过，并根据专家意见完成整改后，项目最竣工验收合格。</w:t>
      </w:r>
    </w:p>
    <w:p w14:paraId="4C838643">
      <w:pPr>
        <w:spacing w:before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bCs w:val="0"/>
          <w:color w:val="000000"/>
          <w:kern w:val="2"/>
          <w:sz w:val="28"/>
          <w:szCs w:val="28"/>
          <w:lang w:bidi="ar"/>
        </w:rPr>
        <w:t xml:space="preserve">8.2.4 </w:t>
      </w:r>
      <w:r>
        <w:rPr>
          <w:rFonts w:hint="eastAsia" w:ascii="仿宋_GB2312" w:hAnsi="Times New Roman" w:eastAsia="仿宋_GB2312" w:cs="仿宋_GB2312"/>
          <w:color w:val="000000"/>
          <w:kern w:val="2"/>
          <w:sz w:val="28"/>
          <w:szCs w:val="28"/>
          <w:lang w:bidi="ar"/>
        </w:rPr>
        <w:t>项目竣工验收前，乙方应向甲方提交技术资料、使用维护说明书等详细资料；乙方未按要求提供相关资料的，甲方有权拒绝验收。</w:t>
      </w:r>
    </w:p>
    <w:p w14:paraId="1E66357C">
      <w:pPr>
        <w:spacing w:before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bCs w:val="0"/>
          <w:color w:val="000000"/>
          <w:kern w:val="2"/>
          <w:sz w:val="28"/>
          <w:szCs w:val="28"/>
          <w:lang w:bidi="ar"/>
        </w:rPr>
        <w:t>8.2.5如甲方认为项目初步验收及竣工验收需要邀请专家或第三方专业机构进行验收，专家或第三方专业机构由甲方或项目监理单位进行选取，专家或第三方专业机构的咨询、评审费用由乙方承担并实际支付，支付标准参照《海南省政务信息化项目投资编制标准（试行）》执行。</w:t>
      </w:r>
    </w:p>
    <w:p w14:paraId="6F7B562B">
      <w:pPr>
        <w:spacing w:before="0" w:beforeLines="0" w:after="0" w:afterLines="0" w:line="576" w:lineRule="exact"/>
        <w:ind w:firstLine="560" w:firstLineChars="0"/>
        <w:rPr>
          <w:rFonts w:hint="eastAsia" w:ascii="仿宋_GB2312" w:hAnsi="Times New Roman" w:eastAsia="仿宋_GB2312" w:cs="仿宋_GB2312"/>
          <w:bCs w:val="0"/>
          <w:color w:val="000000"/>
          <w:kern w:val="2"/>
          <w:sz w:val="28"/>
          <w:szCs w:val="28"/>
          <w:lang w:bidi="ar"/>
        </w:rPr>
      </w:pPr>
      <w:r>
        <w:rPr>
          <w:rFonts w:hint="eastAsia" w:ascii="仿宋_GB2312" w:hAnsi="Times New Roman" w:eastAsia="仿宋_GB2312" w:cs="仿宋_GB2312"/>
          <w:bCs w:val="0"/>
          <w:color w:val="000000"/>
          <w:kern w:val="2"/>
          <w:sz w:val="28"/>
          <w:szCs w:val="28"/>
          <w:lang w:bidi="ar"/>
        </w:rPr>
        <w:t>8.3 验收结果</w:t>
      </w:r>
    </w:p>
    <w:p w14:paraId="27787BA3">
      <w:pPr>
        <w:spacing w:before="0" w:beforeLines="0" w:after="0" w:afterLines="0" w:line="576" w:lineRule="exact"/>
        <w:ind w:firstLine="560" w:firstLineChars="0"/>
        <w:rPr>
          <w:rFonts w:hint="eastAsia" w:ascii="仿宋_GB2312" w:hAnsi="Times New Roman" w:eastAsia="仿宋_GB2312" w:cs="仿宋_GB2312"/>
          <w:bCs w:val="0"/>
          <w:color w:val="000000"/>
          <w:kern w:val="2"/>
          <w:sz w:val="28"/>
          <w:szCs w:val="28"/>
          <w:lang w:bidi="ar"/>
        </w:rPr>
      </w:pPr>
      <w:r>
        <w:rPr>
          <w:rFonts w:hint="eastAsia" w:ascii="仿宋_GB2312" w:hAnsi="Times New Roman" w:eastAsia="仿宋_GB2312" w:cs="仿宋_GB2312"/>
          <w:bCs w:val="0"/>
          <w:color w:val="000000"/>
          <w:kern w:val="2"/>
          <w:sz w:val="28"/>
          <w:szCs w:val="28"/>
          <w:lang w:bidi="ar"/>
        </w:rPr>
        <w:t>8.3.1 验收合格</w:t>
      </w:r>
    </w:p>
    <w:p w14:paraId="3F5A62C1">
      <w:pPr>
        <w:spacing w:before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甲方签署初验收合格报告后，视为本合同项下初步验收合格；甲方签署竣工验收合格报告后，视为本合同项下竣工验收合格。除甲、乙双方另有约定外，竣工验收合格报告的签署日期为本合同质量保证期的起算日。终验收合格前的一切风险由乙方承担。</w:t>
      </w:r>
    </w:p>
    <w:p w14:paraId="447F2222">
      <w:pPr>
        <w:spacing w:before="0" w:beforeLines="0" w:after="0" w:afterLines="0" w:line="576" w:lineRule="exact"/>
        <w:ind w:firstLine="560" w:firstLineChars="0"/>
        <w:rPr>
          <w:rFonts w:hint="eastAsia" w:ascii="仿宋_GB2312" w:hAnsi="Times New Roman" w:eastAsia="仿宋_GB2312" w:cs="仿宋_GB2312"/>
          <w:bCs w:val="0"/>
          <w:color w:val="000000"/>
          <w:kern w:val="2"/>
          <w:sz w:val="28"/>
          <w:szCs w:val="28"/>
          <w:lang w:bidi="ar"/>
        </w:rPr>
      </w:pPr>
      <w:r>
        <w:rPr>
          <w:rFonts w:hint="eastAsia" w:ascii="仿宋_GB2312" w:hAnsi="Times New Roman" w:eastAsia="仿宋_GB2312" w:cs="仿宋_GB2312"/>
          <w:color w:val="000000"/>
          <w:kern w:val="2"/>
          <w:sz w:val="28"/>
          <w:szCs w:val="28"/>
          <w:lang w:bidi="ar"/>
        </w:rPr>
        <w:t>8</w:t>
      </w:r>
      <w:r>
        <w:rPr>
          <w:rFonts w:hint="eastAsia" w:ascii="仿宋_GB2312" w:hAnsi="Times New Roman" w:eastAsia="仿宋_GB2312" w:cs="仿宋_GB2312"/>
          <w:b w:val="0"/>
          <w:bCs w:val="0"/>
          <w:color w:val="000000"/>
          <w:kern w:val="2"/>
          <w:sz w:val="28"/>
          <w:szCs w:val="28"/>
          <w:lang w:bidi="ar"/>
        </w:rPr>
        <w:t>.</w:t>
      </w:r>
      <w:r>
        <w:rPr>
          <w:rFonts w:hint="eastAsia" w:ascii="仿宋_GB2312" w:hAnsi="Times New Roman" w:eastAsia="仿宋_GB2312" w:cs="仿宋_GB2312"/>
          <w:bCs w:val="0"/>
          <w:color w:val="000000"/>
          <w:kern w:val="2"/>
          <w:sz w:val="28"/>
          <w:szCs w:val="28"/>
          <w:lang w:bidi="ar"/>
        </w:rPr>
        <w:t xml:space="preserve">3.2 验收不合格 </w:t>
      </w:r>
    </w:p>
    <w:p w14:paraId="07FEE6F7">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 xml:space="preserve">对于初步验收、竣工验收不合格的，双方应签署整改报告，在整改报告中应列明存在的问题及完成整改的要求。在整改过程中，乙方同意甲方使用该项目交付物，但甲方的使用不能被视为甲方通过对应的验收或对质量的认可。 </w:t>
      </w:r>
    </w:p>
    <w:p w14:paraId="545AA512">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整改结束后，甲乙双方应另行组织验收。经甲乙双方验收合格的，应共同签署验收合格报告。对于经过整改仍无法达到合同约定验收标准，甲方同意让步接收的，乙方应通过减少价款或者给予其他优惠措施的方式弥补甲方的损失；甲方不同意让步接收的，甲方有权要求乙方予以退换或以单方通知的方式解除合同。</w:t>
      </w:r>
    </w:p>
    <w:p w14:paraId="47A9F5D7">
      <w:pPr>
        <w:spacing w:before="0" w:beforeLines="0" w:after="0" w:afterLines="0" w:line="576" w:lineRule="exact"/>
        <w:ind w:firstLine="560" w:firstLineChars="0"/>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项目未通过甲方的初验或终验，导致项目延期的，乙方按本合同约定承担违约责任。</w:t>
      </w:r>
    </w:p>
    <w:p w14:paraId="3E11F7D3">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第九条  运维服务</w:t>
      </w:r>
    </w:p>
    <w:p w14:paraId="29A8F07E">
      <w:pPr>
        <w:tabs>
          <w:tab w:val="left" w:pos="5408"/>
        </w:tabs>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9.1 质保期内的服务</w:t>
      </w:r>
      <w:r>
        <w:rPr>
          <w:rFonts w:hint="eastAsia" w:ascii="仿宋_GB2312" w:hAnsi="Times New Roman" w:eastAsia="仿宋_GB2312" w:cs="仿宋_GB2312"/>
          <w:color w:val="000000"/>
          <w:kern w:val="2"/>
          <w:sz w:val="28"/>
          <w:szCs w:val="28"/>
          <w:lang w:bidi="ar"/>
        </w:rPr>
        <w:tab/>
      </w:r>
    </w:p>
    <w:p w14:paraId="51E51929">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9.1.1 本合同项下质量保证期（以下简称“质保期”）自竣工验收合格报告签署之日起</w:t>
      </w:r>
      <w:r>
        <w:rPr>
          <w:rFonts w:hint="eastAsia" w:ascii="仿宋_GB2312" w:hAnsi="Times New Roman" w:eastAsia="仿宋_GB2312" w:cs="仿宋_GB2312"/>
          <w:color w:val="000000"/>
          <w:kern w:val="2"/>
          <w:sz w:val="28"/>
          <w:szCs w:val="28"/>
          <w:u w:val="none"/>
          <w:lang w:bidi="ar"/>
        </w:rPr>
        <w:t>【】</w:t>
      </w:r>
      <w:r>
        <w:rPr>
          <w:rFonts w:hint="eastAsia" w:ascii="仿宋_GB2312" w:hAnsi="Times New Roman" w:eastAsia="仿宋_GB2312" w:cs="仿宋_GB2312"/>
          <w:color w:val="000000"/>
          <w:kern w:val="2"/>
          <w:sz w:val="28"/>
          <w:szCs w:val="28"/>
          <w:lang w:bidi="ar"/>
        </w:rPr>
        <w:t>年。</w:t>
      </w:r>
    </w:p>
    <w:p w14:paraId="5325BB81">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9.1.2 乙方应于质保期内按照附件二《运维服务要求》提供运维服务。质保期内，乙方未按本协议规定提供培训、指导、咨询服务或产品有质量问题的，乙方应进行补救。</w:t>
      </w:r>
    </w:p>
    <w:p w14:paraId="27F253E2">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9.1.3具体的故障等级定义及对应的响应、恢复及解决时间参考附件二《运维服务要求》。</w:t>
      </w:r>
    </w:p>
    <w:p w14:paraId="62A0AE52">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9.1.4 甲方出现技术问题向乙方咨询的，乙方应提供相应技术支持。</w:t>
      </w:r>
    </w:p>
    <w:p w14:paraId="7D1C3094">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9.2 质保期后的服务</w:t>
      </w:r>
    </w:p>
    <w:p w14:paraId="663E0459">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9.2.1 甲方有权选择是否由乙方提供质保期届满后的技术支持服务和系统维护服务。若甲方同意由乙方提供服务的，乙方同意在质保期满后仍然对项目提供技术支持服务和系统维护。</w:t>
      </w:r>
    </w:p>
    <w:p w14:paraId="4FB1C216">
      <w:pPr>
        <w:spacing w:before="0" w:beforeLines="0" w:after="0" w:afterLines="0" w:line="576" w:lineRule="exact"/>
        <w:ind w:firstLine="560" w:firstLineChars="0"/>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9.2.2 若甲方选择乙方提供服务的，产生的费用由甲方自行承担，相关服务费用乙方应当优惠收取，乙方应当提供相关服务明细和价格清单等资料，双方另行签署合同。</w:t>
      </w:r>
    </w:p>
    <w:p w14:paraId="4FB43FAE">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第十条   培训和支持服务</w:t>
      </w:r>
    </w:p>
    <w:p w14:paraId="4639EF05">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10.1 乙方应负责对甲方的操作、维护、管理、使用等人员提供技术培训服务，培训文件应该包含操作视频、操作手册等培训资料，直至甲方操作、维护、管理、使用等人员能正确操作、使用、维护系统为止，相关培训费用已包含于合同总价中，甲方无需另行支付费用。</w:t>
      </w:r>
    </w:p>
    <w:p w14:paraId="32680BE5">
      <w:pPr>
        <w:spacing w:before="0" w:beforeLines="0" w:after="0" w:afterLines="0" w:line="576" w:lineRule="exact"/>
        <w:ind w:firstLine="560" w:firstLineChars="0"/>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10.2 项目竣工验收合格后，乙方委派技术人员继续支持服务</w:t>
      </w:r>
      <w:r>
        <w:rPr>
          <w:rFonts w:hint="eastAsia" w:ascii="仿宋_GB2312" w:hAnsi="Times New Roman" w:eastAsia="仿宋_GB2312" w:cs="仿宋_GB2312"/>
          <w:color w:val="000000"/>
          <w:kern w:val="2"/>
          <w:sz w:val="28"/>
          <w:szCs w:val="28"/>
          <w:u w:val="none"/>
          <w:lang w:bidi="ar"/>
        </w:rPr>
        <w:t>【】</w:t>
      </w:r>
      <w:r>
        <w:rPr>
          <w:rFonts w:hint="eastAsia" w:ascii="仿宋_GB2312" w:hAnsi="Times New Roman" w:eastAsia="仿宋_GB2312" w:cs="仿宋_GB2312"/>
          <w:color w:val="000000"/>
          <w:kern w:val="2"/>
          <w:sz w:val="28"/>
          <w:szCs w:val="28"/>
          <w:lang w:bidi="ar"/>
        </w:rPr>
        <w:t>个月，费用由乙方自行承担。</w:t>
      </w:r>
    </w:p>
    <w:p w14:paraId="0AFC482D">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第十一条  知识产权</w:t>
      </w:r>
    </w:p>
    <w:p w14:paraId="59891C08">
      <w:pPr>
        <w:autoSpaceDE/>
        <w:autoSpaceDN/>
        <w:adjustRightInd/>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11.1 乙方承诺向甲方提供的本合同项下的交付物不侵害任何第三方的合法权益。</w:t>
      </w:r>
      <w:r>
        <w:rPr>
          <w:rFonts w:hint="eastAsia" w:ascii="仿宋_GB2312" w:hAnsi="Times New Roman" w:eastAsia="仿宋_GB2312" w:cs="仿宋_GB2312"/>
          <w:color w:val="000000"/>
          <w:kern w:val="2"/>
          <w:sz w:val="28"/>
          <w:szCs w:val="28"/>
          <w:lang w:val="zh-CN" w:bidi="ar"/>
        </w:rPr>
        <w:t>若发生第三方指控甲方和/或乙方侵权的，甲方不承担任何责任，</w:t>
      </w:r>
      <w:r>
        <w:rPr>
          <w:rFonts w:hint="eastAsia" w:ascii="仿宋_GB2312" w:hAnsi="Times New Roman" w:eastAsia="仿宋_GB2312" w:cs="仿宋_GB2312"/>
          <w:color w:val="000000"/>
          <w:kern w:val="2"/>
          <w:sz w:val="28"/>
          <w:szCs w:val="28"/>
          <w:lang w:bidi="ar"/>
        </w:rPr>
        <w:t>乙方就由此对甲方造成的一切损失承担赔偿责任</w:t>
      </w:r>
      <w:r>
        <w:rPr>
          <w:rFonts w:hint="eastAsia" w:ascii="仿宋_GB2312" w:hAnsi="Times New Roman" w:eastAsia="仿宋_GB2312" w:cs="仿宋_GB2312"/>
          <w:color w:val="000000"/>
          <w:kern w:val="2"/>
          <w:sz w:val="28"/>
          <w:szCs w:val="28"/>
          <w:lang w:val="zh-CN" w:bidi="ar"/>
        </w:rPr>
        <w:t>。</w:t>
      </w:r>
      <w:r>
        <w:rPr>
          <w:rFonts w:hint="eastAsia" w:ascii="仿宋_GB2312" w:hAnsi="Times New Roman" w:eastAsia="仿宋_GB2312" w:cs="仿宋_GB2312"/>
          <w:color w:val="000000"/>
          <w:kern w:val="2"/>
          <w:sz w:val="28"/>
          <w:szCs w:val="28"/>
          <w:lang w:bidi="ar"/>
        </w:rPr>
        <w:t>若因乙方在实施项目过程中涉嫌侵犯第三方知识产权导致被提起诉讼的，由乙方应当参与应诉并承担全部责任。若因此导致乙方交付给甲方的工作成果被查封、扣押或者被采取其它行政、司法措施，或者作为被告、第三人参加诉讼的，导致甲方无法使用项目相关成果的，乙方应当向甲方退还已付款项，并支付相当于甲方已付款总金额30%的违约金，上述违约金不足以覆盖甲方实际损失的，甲方有权继续追索。</w:t>
      </w:r>
    </w:p>
    <w:p w14:paraId="35B2217B">
      <w:pPr>
        <w:autoSpaceDE/>
        <w:autoSpaceDN/>
        <w:adjustRightInd/>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11.2 知识产权归属</w:t>
      </w:r>
    </w:p>
    <w:p w14:paraId="225F44F9">
      <w:pPr>
        <w:autoSpaceDE/>
        <w:autoSpaceDN/>
        <w:adjustRightInd/>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11.2.1 乙方同意授权或协助甲方及其关联方，为前述公司运营管理【】的经营主体取得使用附件一中交付物中的软件许可内容相应授权，授权期限为</w:t>
      </w:r>
      <w:r>
        <w:rPr>
          <w:rFonts w:hint="eastAsia" w:ascii="仿宋_GB2312" w:hAnsi="Times New Roman" w:eastAsia="仿宋_GB2312" w:cs="仿宋_GB2312"/>
          <w:color w:val="000000"/>
          <w:kern w:val="2"/>
          <w:sz w:val="28"/>
          <w:szCs w:val="28"/>
          <w:u w:val="none"/>
          <w:lang w:bidi="ar"/>
        </w:rPr>
        <w:t>永久</w:t>
      </w:r>
      <w:r>
        <w:rPr>
          <w:rFonts w:hint="eastAsia" w:ascii="仿宋_GB2312" w:hAnsi="Times New Roman" w:eastAsia="仿宋_GB2312" w:cs="仿宋_GB2312"/>
          <w:color w:val="000000"/>
          <w:kern w:val="2"/>
          <w:sz w:val="28"/>
          <w:szCs w:val="28"/>
          <w:lang w:bidi="ar"/>
        </w:rPr>
        <w:t>。甲方不可以使用任何技术手段对许可软件进行反向工程，以图获取乙方软件许可内容的源代码及相关文档。也不可通过复制、与其他软件组合等任何形式构建组合产品，或抄袭或仿制乙方软件许可内容，并包装成其他产品进行销售。</w:t>
      </w:r>
    </w:p>
    <w:p w14:paraId="5D8373FB">
      <w:pPr>
        <w:autoSpaceDE/>
        <w:autoSpaceDN/>
        <w:adjustRightInd/>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11.2.2 乙方向甲方转让附件一中交付物中的软件开发内容、源代码及相关文档对应的所有权。乙方保障甲方享有合法使用权。</w:t>
      </w:r>
    </w:p>
    <w:p w14:paraId="73C1303D">
      <w:pPr>
        <w:autoSpaceDE/>
        <w:autoSpaceDN/>
        <w:adjustRightInd/>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11.2.3在本合同履行过程中，经甲方同意后，乙方拥有为本项目目的使用、复制、改编、修改此类交付物的非专有的权利；交付物中含有乙方所有的知识产权的，甲方享有非排他的、永久的、不可撤销的、世界范围内的、免费的许可使用权（非独占且不可转让），不再另行支付任何费用。</w:t>
      </w:r>
    </w:p>
    <w:p w14:paraId="7208518F">
      <w:pPr>
        <w:autoSpaceDE/>
        <w:autoSpaceDN/>
        <w:adjustRightInd/>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11.3 乙方接受甲方委托所完成的开发中如果使用了乙方于本项目启动前在国外已经申请专利或者拥有其他知识产权的技术或产品的，甲方不得再就完全相同的技术或产品申请专利，但可以永久免费使用。如果甲方运用上述技术制造的产品出口到乙方前述技术或产品申请专利或者拥有其他知识产权的国家或地区，不构成对乙方专利权或其他知识产权的侵犯，乙方应免费许可甲方使用。</w:t>
      </w:r>
    </w:p>
    <w:p w14:paraId="074A393E">
      <w:pPr>
        <w:autoSpaceDE/>
        <w:autoSpaceDN/>
        <w:adjustRightInd/>
        <w:spacing w:before="0" w:beforeLines="0" w:after="0" w:afterLines="0" w:line="576" w:lineRule="exact"/>
        <w:ind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11.4 甲方有权利用乙方按照本合同中约定提供的软件开发成果，进行后续改进，由此产生的具有实质性或创造性技术进步特征的新的成果及其权利归属，由甲方享有。</w:t>
      </w:r>
    </w:p>
    <w:p w14:paraId="4E957DAB">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11.5 本项目如属整体全新开发的，其整体知识产权（包括但不限于项目软件、系统及其相应源代码与相关文档所涉知识产权）归属甲方；如属局部进行二次开发的，其二次开发源代码需交付甲方且甲方享有永久、免费、可再许可的使用权，其他事项知识产权权属按全新开发执行。</w:t>
      </w:r>
    </w:p>
    <w:p w14:paraId="4B6BA970">
      <w:pPr>
        <w:spacing w:before="0" w:beforeLines="0" w:after="0" w:afterLines="0" w:line="576" w:lineRule="exact"/>
        <w:ind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11.6 一方不可未经允许使用另一方的商标、字号、软件名称、图形图案作为宣传或广告资料。</w:t>
      </w:r>
    </w:p>
    <w:p w14:paraId="3AB03109">
      <w:pPr>
        <w:spacing w:before="0" w:beforeLines="0" w:after="0" w:afterLines="0" w:line="576" w:lineRule="exact"/>
        <w:ind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11.7 本合同项下的授权软件，仅限三亚崖州湾科技城控股集团有限公司及其关联公司（包含甲方）以及为前述公司运营管理【】的经营主体使用。除前述公司主体外，未经乙方书面授权，甲方不可将软件交给第三方主体使用或提供任何软件相关物料（包括但不限于实施计划、功能清单等）给第三方主体。</w:t>
      </w:r>
    </w:p>
    <w:p w14:paraId="4CE86BF5">
      <w:pPr>
        <w:spacing w:before="0" w:beforeLines="0" w:after="0" w:afterLines="0" w:line="576" w:lineRule="exact"/>
        <w:ind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11.8 双方知识产权的不侵犯义务不因本合同无效、被撤销或者终止而终止。</w:t>
      </w:r>
    </w:p>
    <w:p w14:paraId="70FC8B5C">
      <w:pPr>
        <w:widowControl w:val="0"/>
        <w:autoSpaceDE/>
        <w:autoSpaceDN/>
        <w:adjustRightInd/>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第十二条  保密责任</w:t>
      </w:r>
    </w:p>
    <w:p w14:paraId="70B1DD2C">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12.1 甲方向乙方提供或乙方在执行本合同过程中所收集的信息，包括担不限于技术性信息、商业性信息、文件、程序、计划、技术、图表、模型、参数、数据、标准、专有技术、业务或业务运作方法及其他专有信息、其他商业信息和技术信息或者其他第三方所有的前述信息、本合同条款（以下简称“保密信息”），只能由乙方为本合同目的而使用。乙方均应当采取有效的保护方式防止保密信息未经授权而被复制、使用、传播、公开、翻译、修改、反编译、反汇编、反向工程、分解拆卸、出售、出借等作任何商业目的或非商业目的的使用。</w:t>
      </w:r>
    </w:p>
    <w:p w14:paraId="0A93CBE8">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12.2 乙方仅可于采取一切合理预防措施后为执行本合同所需在适当范围内将保密信息披露给指定的工作人员（包括其雇员或其他服务人员，律师、会计师、承包商和顾问等专业人员等），并保证其工作人员会按照本合同标准履行保密义务。未经甲方书面同意，乙方及其知悉保密信息的工作人员均不得直接或间接地以任何方式提供或披露给协议以外的第三方。</w:t>
      </w:r>
    </w:p>
    <w:p w14:paraId="5600ABC2">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12.3 如相关政府部门或监管机构按法律法规的具体规定和法定程序要求乙方披露任何保密信息，乙方应立即将需披露的信息书面通知甲方，且该等通知应尽可能在信息披露前作出。</w:t>
      </w:r>
    </w:p>
    <w:p w14:paraId="7A3A14C1">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12.4 乙方保密期限：自乙方收到保密信息之日起，至该保密信息非因乙方原因在合法渠道上公开为止。</w:t>
      </w:r>
    </w:p>
    <w:p w14:paraId="4BE11E38">
      <w:pPr>
        <w:spacing w:before="0" w:beforeLines="0" w:after="0" w:afterLines="0" w:line="576" w:lineRule="exact"/>
        <w:ind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12.5 本合同解除或终止时，乙方应立即停止使用且不得许可第三方使用甲方的保密信息，同时，乙方应按照甲方的书面要求，将保密信息退还或者予以删除或销毁。</w:t>
      </w:r>
    </w:p>
    <w:p w14:paraId="02145C48">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第十三条  人员安排及协作事项</w:t>
      </w:r>
    </w:p>
    <w:p w14:paraId="4FFE7FC3">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13.1 乙方指派</w:t>
      </w:r>
      <w:r>
        <w:rPr>
          <w:rFonts w:hint="eastAsia" w:ascii="仿宋" w:hAnsi="仿宋" w:eastAsia="仿宋" w:cs="仿宋"/>
          <w:color w:val="000000"/>
          <w:sz w:val="24"/>
          <w:u w:val="single"/>
        </w:rPr>
        <w:t xml:space="preserve">    </w:t>
      </w:r>
      <w:r>
        <w:rPr>
          <w:rFonts w:hint="eastAsia" w:ascii="仿宋_GB2312" w:hAnsi="Times New Roman" w:eastAsia="仿宋_GB2312" w:cs="仿宋_GB2312"/>
          <w:color w:val="000000"/>
          <w:kern w:val="2"/>
          <w:sz w:val="28"/>
          <w:szCs w:val="28"/>
          <w:lang w:bidi="ar"/>
        </w:rPr>
        <w:t>作为本项目的负责人，其他参与项目工作的人员分别是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_GB2312" w:hAnsi="Times New Roman" w:eastAsia="仿宋_GB2312" w:cs="仿宋_GB2312"/>
          <w:color w:val="000000"/>
          <w:kern w:val="2"/>
          <w:sz w:val="28"/>
          <w:szCs w:val="28"/>
          <w:lang w:bidi="ar"/>
        </w:rPr>
        <w:t>具体详见附件三《项目人员信息表》。乙方确保项目负责人及团队的稳定性，如乙方须更换项目负责人及团队人员，必须经甲方书面同意，并且乙方保证更换后的项目负责人、团队人员在经验、技术上都不低于更换前的人员。</w:t>
      </w:r>
    </w:p>
    <w:p w14:paraId="09E9F1CD">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13.2 乙方项目团队派驻到甲方工作的，乙方人员应遵守甲方工作场所的各项制度，乙方对乙方工作人员在甲方场所所从事的活动和行为负责。乙方自行承担乙方工作人员在甲方所在地所产生的费用，包含但不仅限于食宿、差旅费、工资、医疗费、损害赔偿费等。</w:t>
      </w:r>
    </w:p>
    <w:p w14:paraId="760F9886">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第十四条  变更</w:t>
      </w:r>
    </w:p>
    <w:p w14:paraId="7A28F2BD">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在项目执行过程中，如发生不可避免的变更，甲乙双方通过本条约定的书面形式予以确认后，乙方应无条件予以执行，</w:t>
      </w:r>
      <w:r>
        <w:rPr>
          <w:rFonts w:hint="eastAsia" w:ascii="仿宋_GB2312" w:hAnsi="Times New Roman" w:eastAsia="仿宋_GB2312" w:cs="仿宋_GB2312"/>
          <w:color w:val="000000"/>
          <w:kern w:val="2"/>
          <w:sz w:val="28"/>
          <w:szCs w:val="28"/>
          <w:lang w:eastAsia="zh-Hans" w:bidi="ar"/>
        </w:rPr>
        <w:t>本合同费用不再调整</w:t>
      </w:r>
      <w:r>
        <w:rPr>
          <w:rFonts w:hint="eastAsia" w:ascii="仿宋_GB2312" w:hAnsi="Times New Roman" w:eastAsia="仿宋_GB2312" w:cs="仿宋_GB2312"/>
          <w:color w:val="000000"/>
          <w:kern w:val="2"/>
          <w:sz w:val="28"/>
          <w:szCs w:val="28"/>
          <w:lang w:bidi="ar"/>
        </w:rPr>
        <w:t>。但如遇重大变更情形，一方可以向另一方提出变更请求，甲乙双方</w:t>
      </w:r>
      <w:r>
        <w:rPr>
          <w:rFonts w:hint="eastAsia" w:ascii="仿宋_GB2312" w:hAnsi="Times New Roman" w:eastAsia="仿宋_GB2312" w:cs="仿宋_GB2312"/>
          <w:color w:val="000000"/>
          <w:kern w:val="2"/>
          <w:sz w:val="28"/>
          <w:szCs w:val="28"/>
          <w:lang w:eastAsia="zh-Hans" w:bidi="ar"/>
        </w:rPr>
        <w:t>协商一致后可</w:t>
      </w:r>
      <w:r>
        <w:rPr>
          <w:rFonts w:hint="eastAsia" w:ascii="仿宋_GB2312" w:hAnsi="Times New Roman" w:eastAsia="仿宋_GB2312" w:cs="仿宋_GB2312"/>
          <w:color w:val="000000"/>
          <w:kern w:val="2"/>
          <w:sz w:val="28"/>
          <w:szCs w:val="28"/>
          <w:lang w:bidi="ar"/>
        </w:rPr>
        <w:t>签订需求变更补充协议，并对项目额外增加的费用、履行期限等内容进行约定。</w:t>
      </w:r>
    </w:p>
    <w:p w14:paraId="5A5DAAA7">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第十五条  终止、解除与违约责任</w:t>
      </w:r>
    </w:p>
    <w:p w14:paraId="54EF84CB">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 发生以下情形之一的，甲方有权单方解除本合同并要求乙方承担相应违约责任：</w:t>
      </w:r>
    </w:p>
    <w:p w14:paraId="5402AD9A">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15.1.1 项目竣工验收不合格，且根据第8.3.2条经补救后竣工验收仍不合格的，甲方有权解除合同。</w:t>
      </w:r>
    </w:p>
    <w:p w14:paraId="47C93F4B">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15.1.2 对于乙方提供的软件产品，如第三方已提出或可能提出权利主张的，经甲方同意后，乙方可以采取以下措施进行补救：修改交付物或以功能上相等的交付物替换或乙方为甲方继续使用交付物取得第三方的授权。若甲方不认可、乙方无法补救或甲方认为乙方未合理提供上述可供选择的做法的，甲方有权解除合同。</w:t>
      </w:r>
    </w:p>
    <w:p w14:paraId="5F01A555">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15.1.3 乙方交付的项目成果不应存在瑕疵或缺陷。若乙方交付的项目成果存在瑕疵或缺陷，乙方应当在甲方或者监理单位整改通知的期限内完成修复、重做。对短期检验难以发现的隐蔽瑕疵，甲方享有在质保期内向乙方提出质量异议的权利。乙方对存在的质量问题，应予以免费修复或者重做；如乙方不履行上述修复、重做义务的，甲方有权解除合同。</w:t>
      </w:r>
    </w:p>
    <w:p w14:paraId="7B0B9F2E">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15.1.4乙方应按照本合同约定的时间节点履行合同义务，因乙方原因逾期履行合同义务的（包括但不限于因项目质量不符合约定要求的整改、重做等造成的逾期）每逾期1天，乙方应按照合同总金额的</w:t>
      </w:r>
      <w:r>
        <w:rPr>
          <w:rFonts w:hint="eastAsia" w:ascii="仿宋_GB2312" w:hAnsi="Times New Roman" w:eastAsia="仿宋_GB2312" w:cs="仿宋_GB2312"/>
          <w:color w:val="000000"/>
          <w:kern w:val="2"/>
          <w:sz w:val="28"/>
          <w:szCs w:val="28"/>
          <w:u w:val="none"/>
          <w:lang w:bidi="ar"/>
        </w:rPr>
        <w:t>5‰</w:t>
      </w:r>
      <w:r>
        <w:rPr>
          <w:rFonts w:hint="eastAsia" w:ascii="仿宋_GB2312" w:hAnsi="Times New Roman" w:eastAsia="仿宋_GB2312" w:cs="仿宋_GB2312"/>
          <w:color w:val="000000"/>
          <w:kern w:val="2"/>
          <w:sz w:val="28"/>
          <w:szCs w:val="28"/>
          <w:lang w:bidi="ar"/>
        </w:rPr>
        <w:t>向甲方支付违约金，按日累进计算，超过</w:t>
      </w:r>
      <w:r>
        <w:rPr>
          <w:rFonts w:hint="eastAsia" w:ascii="仿宋_GB2312" w:hAnsi="Times New Roman" w:eastAsia="仿宋_GB2312" w:cs="仿宋_GB2312"/>
          <w:color w:val="000000"/>
          <w:kern w:val="2"/>
          <w:sz w:val="28"/>
          <w:szCs w:val="28"/>
          <w:u w:val="none"/>
          <w:lang w:bidi="ar"/>
        </w:rPr>
        <w:t>30</w:t>
      </w:r>
      <w:r>
        <w:rPr>
          <w:rFonts w:hint="eastAsia" w:ascii="仿宋_GB2312" w:hAnsi="Times New Roman" w:eastAsia="仿宋_GB2312" w:cs="仿宋_GB2312"/>
          <w:color w:val="000000"/>
          <w:kern w:val="2"/>
          <w:sz w:val="28"/>
          <w:szCs w:val="28"/>
          <w:lang w:bidi="ar"/>
        </w:rPr>
        <w:t>天的，甲方有权解除合同。</w:t>
      </w:r>
    </w:p>
    <w:p w14:paraId="4F72AAE5">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15.1.5 若乙方未经甲方书面许可擅自将本项目下的工作全部或部分地交由第三方履行，甲方有权解除合同。</w:t>
      </w:r>
    </w:p>
    <w:p w14:paraId="40CF1746">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15.1.6 除上述情形外，乙方存在其他违约行为且经甲方书面催告仍未在限期内改正的，甲方有权解除合同。</w:t>
      </w:r>
    </w:p>
    <w:p w14:paraId="430923DC">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15.2 甲方因乙方违约而解除本合同的，乙方应一次性退还甲方已支付的全部款项，并向甲方支付合同总金额的</w:t>
      </w:r>
      <w:r>
        <w:rPr>
          <w:rFonts w:hint="eastAsia" w:ascii="仿宋_GB2312" w:hAnsi="Times New Roman" w:eastAsia="仿宋_GB2312" w:cs="仿宋_GB2312"/>
          <w:color w:val="000000"/>
          <w:kern w:val="2"/>
          <w:sz w:val="28"/>
          <w:szCs w:val="28"/>
          <w:u w:val="none"/>
          <w:lang w:bidi="ar"/>
        </w:rPr>
        <w:t>15</w:t>
      </w:r>
      <w:r>
        <w:rPr>
          <w:rFonts w:hint="eastAsia" w:ascii="仿宋_GB2312" w:hAnsi="Times New Roman" w:eastAsia="仿宋_GB2312" w:cs="仿宋_GB2312"/>
          <w:color w:val="000000"/>
          <w:kern w:val="2"/>
          <w:sz w:val="28"/>
          <w:szCs w:val="28"/>
          <w:lang w:bidi="ar"/>
        </w:rPr>
        <w:t>%作为违约金，若违约金不能够弥补甲方产生的损失，甲方有权继续向乙方追偿违约金。</w:t>
      </w:r>
    </w:p>
    <w:p w14:paraId="3E9A65F3">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 xml:space="preserve">15.3 </w:t>
      </w:r>
      <w:r>
        <w:rPr>
          <w:rFonts w:hint="eastAsia" w:ascii="仿宋_GB2312" w:hAnsi="Times New Roman" w:eastAsia="仿宋_GB2312" w:cs="仿宋_GB2312"/>
          <w:color w:val="000000"/>
          <w:kern w:val="2"/>
          <w:sz w:val="28"/>
          <w:szCs w:val="28"/>
          <w:lang w:val="zh-CN" w:bidi="ar"/>
        </w:rPr>
        <w:t>合同签订后，乙方无理由单方终止</w:t>
      </w:r>
      <w:r>
        <w:rPr>
          <w:rFonts w:hint="eastAsia" w:ascii="仿宋_GB2312" w:hAnsi="Times New Roman" w:eastAsia="仿宋_GB2312" w:cs="仿宋_GB2312"/>
          <w:color w:val="000000"/>
          <w:kern w:val="2"/>
          <w:sz w:val="28"/>
          <w:szCs w:val="28"/>
          <w:lang w:bidi="ar"/>
        </w:rPr>
        <w:t>或中止履行</w:t>
      </w:r>
      <w:r>
        <w:rPr>
          <w:rFonts w:hint="eastAsia" w:ascii="仿宋_GB2312" w:hAnsi="Times New Roman" w:eastAsia="仿宋_GB2312" w:cs="仿宋_GB2312"/>
          <w:color w:val="000000"/>
          <w:kern w:val="2"/>
          <w:sz w:val="28"/>
          <w:szCs w:val="28"/>
          <w:lang w:val="zh-CN" w:bidi="ar"/>
        </w:rPr>
        <w:t>合同视为违约，乙方同意向甲方支付合同总金额</w:t>
      </w:r>
      <w:r>
        <w:rPr>
          <w:rFonts w:hint="eastAsia" w:ascii="仿宋_GB2312" w:hAnsi="Times New Roman" w:eastAsia="仿宋_GB2312" w:cs="仿宋_GB2312"/>
          <w:color w:val="000000"/>
          <w:kern w:val="2"/>
          <w:sz w:val="28"/>
          <w:szCs w:val="28"/>
          <w:u w:val="none"/>
          <w:lang w:val="zh-CN" w:bidi="ar"/>
        </w:rPr>
        <w:t>15%</w:t>
      </w:r>
      <w:r>
        <w:rPr>
          <w:rFonts w:hint="eastAsia" w:ascii="仿宋_GB2312" w:hAnsi="Times New Roman" w:eastAsia="仿宋_GB2312" w:cs="仿宋_GB2312"/>
          <w:color w:val="000000"/>
          <w:kern w:val="2"/>
          <w:sz w:val="28"/>
          <w:szCs w:val="28"/>
          <w:lang w:val="zh-CN" w:bidi="ar"/>
        </w:rPr>
        <w:t>的违约金。</w:t>
      </w:r>
    </w:p>
    <w:p w14:paraId="7E5D4ABA">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15.4 乙方除应当按照合同约定进行补救外，甲方有权每次视情节严重程度扣除不超过质保金的【5】%，直至质保金全部扣完。如质保期内质保金不足的，甲方有权要求乙方补足，乙方应在甲方通知后【10】日内补足质保金。</w:t>
      </w:r>
    </w:p>
    <w:p w14:paraId="4016844D">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15.5 若乙方未能按照本合同第九条约定提供运维服务或未能按照第十条约定提供培训服务或运维服务期未能及时解决相关故障时，甲方有权自行解决或者委托他人提供服务，所产生的费用由乙方承担；若未能及时解决累计达一级故障2次或二级故障5次时，乙方同意向甲方支付相当于合同总金额15%的违约金。</w:t>
      </w:r>
    </w:p>
    <w:p w14:paraId="3A622503">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15.6 一方未履行本合同项下义务的，应赔偿另一方所受损失，包括但不限于诉讼费、保全费、诉责险费、执行费、律师费、差旅费、评估费、检测鉴定费、拍卖费、公证费等。如本合同约定违约金不足以弥补守约方损失的，守约方有权继向违约金续追偿。</w:t>
      </w:r>
    </w:p>
    <w:p w14:paraId="3BD610D4">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15.7 甲方有权直接在应付款项及质保金中扣除本合同项下违约金、赔偿金，甲方选择不予扣除或质保金不足以扣除的，甲方可继续向乙方追偿。</w:t>
      </w:r>
    </w:p>
    <w:p w14:paraId="2AB30E1D">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15.8 乙方交付的项目成果存在瑕疵或缺陷，且未在甲方或者监理单位整改通知的期限内完成修复、重做的，乙方同意向甲方支付合同总金额</w:t>
      </w:r>
      <w:r>
        <w:rPr>
          <w:rFonts w:hint="eastAsia" w:ascii="仿宋_GB2312" w:hAnsi="Times New Roman" w:eastAsia="仿宋_GB2312" w:cs="仿宋_GB2312"/>
          <w:color w:val="000000"/>
          <w:kern w:val="2"/>
          <w:sz w:val="28"/>
          <w:szCs w:val="28"/>
          <w:u w:val="none"/>
          <w:lang w:bidi="ar"/>
        </w:rPr>
        <w:t>15%</w:t>
      </w:r>
      <w:r>
        <w:rPr>
          <w:rFonts w:hint="eastAsia" w:ascii="仿宋_GB2312" w:hAnsi="Times New Roman" w:eastAsia="仿宋_GB2312" w:cs="仿宋_GB2312"/>
          <w:color w:val="000000"/>
          <w:kern w:val="2"/>
          <w:sz w:val="28"/>
          <w:szCs w:val="28"/>
          <w:lang w:bidi="ar"/>
        </w:rPr>
        <w:t>的违约金。上述违约金的支付不免除乙方的瑕疵担保责任，乙方仍需限期内完成修复、重做。</w:t>
      </w:r>
    </w:p>
    <w:p w14:paraId="544A628A">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15.9 乙方未经甲方书面同意而擅自更换项目负责人和/或项目团队其他人员，或者乙方更换后之人员在经验、技术上低于更换前工作人员，或者由于更换项目负责人和/或项目团队其他人员致使甲方工作人员与乙方交流不畅、阻碍项目进度的，甲方有权要求乙方重新更换本合同约定的合格工作人员，乙方未依据甲方要求更换人员的，乙方同意向甲方支付合同总金额</w:t>
      </w:r>
      <w:r>
        <w:rPr>
          <w:rFonts w:hint="eastAsia" w:ascii="仿宋_GB2312" w:hAnsi="Times New Roman" w:eastAsia="仿宋_GB2312" w:cs="仿宋_GB2312"/>
          <w:color w:val="000000"/>
          <w:kern w:val="2"/>
          <w:sz w:val="28"/>
          <w:szCs w:val="28"/>
          <w:u w:val="none"/>
          <w:lang w:bidi="ar"/>
        </w:rPr>
        <w:t>15%</w:t>
      </w:r>
      <w:r>
        <w:rPr>
          <w:rFonts w:hint="eastAsia" w:ascii="仿宋_GB2312" w:hAnsi="Times New Roman" w:eastAsia="仿宋_GB2312" w:cs="仿宋_GB2312"/>
          <w:color w:val="000000"/>
          <w:kern w:val="2"/>
          <w:sz w:val="28"/>
          <w:szCs w:val="28"/>
          <w:lang w:bidi="ar"/>
        </w:rPr>
        <w:t>的违约金。</w:t>
      </w:r>
    </w:p>
    <w:p w14:paraId="5DB86D3A">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15.10 甲方应按合同约定，按时支付合同款项。若甲方未在付款期限内履行付款义务的，乙方有权予以催告，经催告后甲方超过30日内仍未支付的，甲方承担相应违约责任。</w:t>
      </w:r>
    </w:p>
    <w:p w14:paraId="013C2024">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15.11 甲方有权直接在应付款项及质保金中扣除本合同项下违约金、赔偿金，甲方选择不予扣除或质保金不足以扣除的，甲方可继续向乙方追偿。</w:t>
      </w:r>
    </w:p>
    <w:p w14:paraId="47AF077E">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15.12 乙方未履行本合同项下义务的，应赔偿甲方所受损失，包括但不限于诉讼费、保全费、诉责险费、执行费、律师费、差旅费、评估费、检测鉴定费、拍卖费、公证费等。如本合同约定违约金不足以弥补甲方损失的，甲方有权向乙方追偿。</w:t>
      </w:r>
    </w:p>
    <w:p w14:paraId="3C9AAF5C">
      <w:pPr>
        <w:spacing w:before="0" w:beforeLines="0" w:after="0" w:afterLines="0" w:line="576" w:lineRule="exact"/>
        <w:ind w:firstLine="560" w:firstLineChars="0"/>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15.13甲方应按合同约定，按时支付合同款项。若甲方未在付款期限内履行付款义务的，乙方有权予以催告，经催告后甲方超过30日内仍未支付的，甲方承担相应违约责任。</w:t>
      </w:r>
    </w:p>
    <w:p w14:paraId="5D158E92">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第十六条  争议解决</w:t>
      </w:r>
    </w:p>
    <w:p w14:paraId="5243A6A2">
      <w:pPr>
        <w:spacing w:before="0" w:beforeLines="0" w:after="0" w:afterLines="0" w:line="576" w:lineRule="exact"/>
        <w:ind w:firstLine="560" w:firstLineChars="0"/>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因执行本合同所发生的一切争议，双方应通过友好协商解决；如经协商未能达成一致的，应向甲方住所地的人民法院起诉。</w:t>
      </w:r>
    </w:p>
    <w:p w14:paraId="7B5925F6">
      <w:pPr>
        <w:widowControl w:val="0"/>
        <w:spacing w:before="0" w:beforeLines="0" w:after="0" w:afterLines="0" w:line="576" w:lineRule="exact"/>
        <w:ind w:firstLine="562" w:firstLineChars="200"/>
        <w:jc w:val="both"/>
        <w:rPr>
          <w:rFonts w:hint="eastAsia" w:ascii="仿宋_GB2312" w:hAnsi="Times New Roman" w:eastAsia="仿宋_GB2312" w:cs="仿宋_GB2312"/>
          <w:b/>
          <w:bCs/>
          <w:color w:val="000000"/>
          <w:kern w:val="2"/>
          <w:sz w:val="28"/>
          <w:szCs w:val="28"/>
          <w:lang w:bidi="ar"/>
        </w:rPr>
      </w:pPr>
      <w:r>
        <w:rPr>
          <w:rFonts w:hint="eastAsia" w:ascii="仿宋_GB2312" w:hAnsi="Times New Roman" w:eastAsia="仿宋_GB2312" w:cs="仿宋_GB2312"/>
          <w:b/>
          <w:bCs/>
          <w:color w:val="000000"/>
          <w:kern w:val="2"/>
          <w:sz w:val="28"/>
          <w:szCs w:val="28"/>
          <w:lang w:bidi="ar"/>
        </w:rPr>
        <w:t>第十七条  附则</w:t>
      </w:r>
    </w:p>
    <w:p w14:paraId="1C3357FC">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17.1 通讯方式</w:t>
      </w:r>
    </w:p>
    <w:p w14:paraId="65B40035">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17.1.1 甲乙双方分别指定以下人员为本项目的联系人，双方联系人协助转达指示和要求，提供文件和资料等，联系人及联系方式具体信息如下：</w:t>
      </w:r>
    </w:p>
    <w:p w14:paraId="2DA94683">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甲方联系人：</w:t>
      </w:r>
    </w:p>
    <w:p w14:paraId="2303FBC9">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联系电话：</w:t>
      </w:r>
    </w:p>
    <w:p w14:paraId="310F95E5">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联系地址</w:t>
      </w:r>
    </w:p>
    <w:p w14:paraId="0A43AF96">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p>
    <w:p w14:paraId="62708273">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 xml:space="preserve">乙方联系人： </w:t>
      </w:r>
    </w:p>
    <w:p w14:paraId="663B1E71">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联系电话：</w:t>
      </w:r>
    </w:p>
    <w:p w14:paraId="40AFE047">
      <w:pPr>
        <w:spacing w:before="0" w:beforeLines="0" w:after="0" w:afterLines="0" w:line="576" w:lineRule="exact"/>
        <w:ind w:firstLine="56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 xml:space="preserve">联系地址： </w:t>
      </w:r>
    </w:p>
    <w:p w14:paraId="5E5CAF81">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17.1.2 甲乙双方应以前款载明的联系人和联系方式进行本合同相关事项的通知与送达，一方变更联系人或联系方式的，应提前【7】个工作日通知对方，未提前通知对方导致通知无法送达的，未通知方承担所有应此产生的责任。</w:t>
      </w:r>
    </w:p>
    <w:p w14:paraId="793DE4A1">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17.2 对本合同的任何变更，应由甲乙双方协商一致后签订补充协议；如本合同附件与本合同有不一致的，以本合同为准。</w:t>
      </w:r>
    </w:p>
    <w:p w14:paraId="0E56B783">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17.3 本合同一式【】份，甲方执叁份，乙方执【】份，均具有同等法律效力。</w:t>
      </w:r>
    </w:p>
    <w:p w14:paraId="52E5930A">
      <w:pPr>
        <w:spacing w:before="0" w:beforeLines="0" w:after="0" w:afterLines="0" w:line="576" w:lineRule="exact"/>
        <w:ind w:firstLine="560" w:firstLineChars="0"/>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17.4 本合同自双方法定代表人或授权代表签字或盖章并加盖合同专用章或公章之日起生效，自双方履行完合同约定的义务后自动终止。</w:t>
      </w:r>
    </w:p>
    <w:p w14:paraId="5993E49F">
      <w:pPr>
        <w:spacing w:before="0" w:beforeLines="0" w:after="0" w:afterLines="0" w:line="576" w:lineRule="exact"/>
        <w:ind w:left="0" w:leftChars="0"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附件：</w:t>
      </w:r>
    </w:p>
    <w:p w14:paraId="29AAB8B8">
      <w:pPr>
        <w:spacing w:before="0" w:beforeLines="0" w:after="0" w:afterLines="0" w:line="576" w:lineRule="exact"/>
        <w:ind w:left="0" w:leftChars="0"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一.产品及服务清单</w:t>
      </w:r>
    </w:p>
    <w:p w14:paraId="56D4AA14">
      <w:pPr>
        <w:spacing w:before="0" w:beforeLines="0" w:after="0" w:afterLines="0" w:line="576" w:lineRule="exact"/>
        <w:ind w:left="0" w:leftChars="0" w:firstLine="560" w:firstLineChars="0"/>
        <w:jc w:val="left"/>
        <w:rPr>
          <w:rFonts w:hint="eastAsia" w:ascii="仿宋_GB2312" w:hAnsi="Times New Roman" w:eastAsia="仿宋_GB2312" w:cs="仿宋_GB2312"/>
          <w:color w:val="000000"/>
          <w:kern w:val="2"/>
          <w:sz w:val="28"/>
          <w:szCs w:val="28"/>
          <w:lang w:bidi="ar"/>
        </w:rPr>
      </w:pPr>
      <w:r>
        <w:rPr>
          <w:rFonts w:hint="eastAsia" w:ascii="仿宋_GB2312" w:hAnsi="Times New Roman" w:eastAsia="仿宋_GB2312" w:cs="仿宋_GB2312"/>
          <w:color w:val="000000"/>
          <w:kern w:val="2"/>
          <w:sz w:val="28"/>
          <w:szCs w:val="28"/>
          <w:lang w:bidi="ar"/>
        </w:rPr>
        <w:t>二.运维服务要求</w:t>
      </w:r>
    </w:p>
    <w:p w14:paraId="2A5A2A52">
      <w:pPr>
        <w:spacing w:before="0" w:beforeLines="0" w:after="0" w:afterLines="0" w:line="576" w:lineRule="exact"/>
        <w:ind w:left="0" w:leftChars="0" w:firstLine="560" w:firstLineChars="0"/>
        <w:jc w:val="left"/>
        <w:rPr>
          <w:rFonts w:ascii="仿宋" w:hAnsi="仿宋" w:eastAsia="仿宋" w:cs="仿宋"/>
          <w:color w:val="000000"/>
          <w:sz w:val="24"/>
        </w:rPr>
      </w:pPr>
      <w:r>
        <w:rPr>
          <w:rFonts w:hint="eastAsia" w:ascii="仿宋_GB2312" w:hAnsi="Times New Roman" w:eastAsia="仿宋_GB2312" w:cs="仿宋_GB2312"/>
          <w:color w:val="000000"/>
          <w:kern w:val="2"/>
          <w:sz w:val="28"/>
          <w:szCs w:val="28"/>
          <w:lang w:bidi="ar"/>
        </w:rPr>
        <w:t>三.项目人员信息表</w:t>
      </w:r>
    </w:p>
    <w:p w14:paraId="20BA7FED">
      <w:pPr>
        <w:pStyle w:val="50"/>
        <w:rPr>
          <w:rFonts w:ascii="仿宋" w:hAnsi="仿宋" w:eastAsia="仿宋" w:cs="仿宋"/>
        </w:rPr>
      </w:pPr>
    </w:p>
    <w:tbl>
      <w:tblPr>
        <w:tblStyle w:val="23"/>
        <w:tblW w:w="4999" w:type="pct"/>
        <w:jc w:val="center"/>
        <w:tblLayout w:type="autofit"/>
        <w:tblCellMar>
          <w:top w:w="0" w:type="dxa"/>
          <w:left w:w="108" w:type="dxa"/>
          <w:bottom w:w="0" w:type="dxa"/>
          <w:right w:w="108" w:type="dxa"/>
        </w:tblCellMar>
      </w:tblPr>
      <w:tblGrid>
        <w:gridCol w:w="4102"/>
        <w:gridCol w:w="4418"/>
      </w:tblGrid>
      <w:tr w14:paraId="3888D9FD">
        <w:tblPrEx>
          <w:tblCellMar>
            <w:top w:w="0" w:type="dxa"/>
            <w:left w:w="108" w:type="dxa"/>
            <w:bottom w:w="0" w:type="dxa"/>
            <w:right w:w="108" w:type="dxa"/>
          </w:tblCellMar>
        </w:tblPrEx>
        <w:trPr>
          <w:cantSplit/>
          <w:trHeight w:val="3498" w:hRule="atLeast"/>
          <w:jc w:val="center"/>
        </w:trPr>
        <w:tc>
          <w:tcPr>
            <w:tcW w:w="2407" w:type="pct"/>
            <w:noWrap w:val="0"/>
            <w:vAlign w:val="top"/>
          </w:tcPr>
          <w:p w14:paraId="3B260D0C">
            <w:pPr>
              <w:adjustRightInd w:val="0"/>
              <w:snapToGrid w:val="0"/>
              <w:spacing w:before="217" w:beforeLines="50" w:after="217" w:afterLines="50" w:line="440" w:lineRule="exact"/>
              <w:ind w:firstLine="480" w:firstLineChars="200"/>
              <w:rPr>
                <w:rFonts w:ascii="仿宋" w:hAnsi="仿宋" w:eastAsia="仿宋" w:cs="仿宋"/>
                <w:sz w:val="24"/>
                <w:szCs w:val="24"/>
              </w:rPr>
            </w:pPr>
            <w:r>
              <w:rPr>
                <w:rFonts w:hint="eastAsia" w:ascii="仿宋" w:hAnsi="仿宋" w:eastAsia="仿宋" w:cs="仿宋"/>
                <w:sz w:val="24"/>
                <w:szCs w:val="24"/>
              </w:rPr>
              <w:t>甲方（盖章）：</w:t>
            </w:r>
          </w:p>
          <w:p w14:paraId="7472BDF2">
            <w:pPr>
              <w:adjustRightInd w:val="0"/>
              <w:snapToGrid w:val="0"/>
              <w:spacing w:before="217" w:beforeLines="50" w:after="217" w:afterLines="5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授权代表或法定代表人（签字/盖章）：</w:t>
            </w:r>
          </w:p>
          <w:p w14:paraId="62866023">
            <w:pPr>
              <w:adjustRightInd w:val="0"/>
              <w:snapToGrid w:val="0"/>
              <w:spacing w:before="217" w:beforeLines="50" w:after="217" w:afterLines="50" w:line="440" w:lineRule="exact"/>
              <w:ind w:firstLine="480" w:firstLineChars="200"/>
              <w:rPr>
                <w:rFonts w:hint="eastAsia" w:ascii="仿宋" w:hAnsi="仿宋" w:eastAsia="仿宋" w:cs="仿宋"/>
                <w:sz w:val="24"/>
                <w:szCs w:val="24"/>
              </w:rPr>
            </w:pPr>
          </w:p>
          <w:p w14:paraId="6C970B35">
            <w:pPr>
              <w:adjustRightInd w:val="0"/>
              <w:snapToGrid w:val="0"/>
              <w:spacing w:before="217" w:beforeLines="50" w:after="217" w:afterLines="50" w:line="440" w:lineRule="exact"/>
              <w:ind w:firstLine="480" w:firstLineChars="200"/>
              <w:rPr>
                <w:rFonts w:ascii="仿宋" w:hAnsi="仿宋" w:eastAsia="仿宋" w:cs="仿宋"/>
                <w:sz w:val="24"/>
                <w:szCs w:val="24"/>
              </w:rPr>
            </w:pPr>
            <w:r>
              <w:rPr>
                <w:rFonts w:hint="eastAsia" w:ascii="仿宋" w:hAnsi="仿宋" w:eastAsia="仿宋" w:cs="仿宋"/>
                <w:sz w:val="24"/>
                <w:szCs w:val="24"/>
              </w:rPr>
              <w:t>签订日期：</w:t>
            </w:r>
          </w:p>
        </w:tc>
        <w:tc>
          <w:tcPr>
            <w:tcW w:w="2592" w:type="pct"/>
            <w:noWrap w:val="0"/>
            <w:vAlign w:val="top"/>
          </w:tcPr>
          <w:p w14:paraId="6BD4C4B7">
            <w:pPr>
              <w:adjustRightInd w:val="0"/>
              <w:snapToGrid w:val="0"/>
              <w:spacing w:before="217" w:beforeLines="50" w:after="217" w:afterLines="50" w:line="440" w:lineRule="exact"/>
              <w:ind w:firstLine="480" w:firstLineChars="200"/>
              <w:rPr>
                <w:rFonts w:ascii="仿宋" w:hAnsi="仿宋" w:eastAsia="仿宋" w:cs="仿宋"/>
                <w:sz w:val="24"/>
                <w:szCs w:val="24"/>
              </w:rPr>
            </w:pPr>
            <w:r>
              <w:rPr>
                <w:rFonts w:hint="eastAsia" w:ascii="仿宋" w:hAnsi="仿宋" w:eastAsia="仿宋" w:cs="仿宋"/>
                <w:sz w:val="24"/>
                <w:szCs w:val="24"/>
              </w:rPr>
              <w:t>乙方（盖章）：</w:t>
            </w:r>
          </w:p>
          <w:p w14:paraId="0D2E91EC">
            <w:pPr>
              <w:adjustRightInd w:val="0"/>
              <w:snapToGrid w:val="0"/>
              <w:spacing w:before="217" w:beforeLines="50" w:after="217" w:afterLines="5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授权代表或法定代表人（签字/盖章）：</w:t>
            </w:r>
          </w:p>
          <w:p w14:paraId="0454FE5A">
            <w:pPr>
              <w:adjustRightInd w:val="0"/>
              <w:snapToGrid w:val="0"/>
              <w:spacing w:before="217" w:beforeLines="50" w:after="217" w:afterLines="50" w:line="440" w:lineRule="exact"/>
              <w:ind w:firstLine="480" w:firstLineChars="200"/>
              <w:rPr>
                <w:rFonts w:hint="eastAsia" w:ascii="仿宋" w:hAnsi="仿宋" w:eastAsia="仿宋" w:cs="仿宋"/>
                <w:sz w:val="24"/>
                <w:szCs w:val="24"/>
              </w:rPr>
            </w:pPr>
          </w:p>
          <w:p w14:paraId="78463F01">
            <w:pPr>
              <w:adjustRightInd w:val="0"/>
              <w:snapToGrid w:val="0"/>
              <w:spacing w:before="217" w:beforeLines="50" w:after="217" w:afterLines="50"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签订日期：</w:t>
            </w:r>
          </w:p>
        </w:tc>
      </w:tr>
    </w:tbl>
    <w:p w14:paraId="65A8AB04">
      <w:pPr>
        <w:spacing w:beforeLines="0" w:line="576" w:lineRule="exact"/>
        <w:ind w:firstLine="0"/>
        <w:rPr>
          <w:rFonts w:hint="eastAsia" w:ascii="仿宋_GB2312" w:hAnsi="Times New Roman" w:eastAsia="仿宋_GB2312" w:cs="仿宋_GB2312"/>
          <w:b/>
          <w:bCs/>
          <w:color w:val="000000"/>
          <w:kern w:val="2"/>
          <w:sz w:val="24"/>
          <w:szCs w:val="24"/>
          <w:lang w:bidi="ar"/>
        </w:rPr>
      </w:pPr>
      <w:r>
        <w:rPr>
          <w:rFonts w:hint="eastAsia" w:ascii="仿宋" w:hAnsi="仿宋" w:eastAsia="仿宋" w:cs="仿宋"/>
          <w:sz w:val="24"/>
          <w:szCs w:val="24"/>
        </w:rPr>
        <w:br w:type="page"/>
      </w:r>
      <w:r>
        <w:rPr>
          <w:rFonts w:hint="eastAsia" w:ascii="仿宋_GB2312" w:hAnsi="Times New Roman" w:eastAsia="仿宋_GB2312" w:cs="仿宋_GB2312"/>
          <w:b/>
          <w:bCs/>
          <w:color w:val="000000"/>
          <w:kern w:val="2"/>
          <w:sz w:val="24"/>
          <w:szCs w:val="24"/>
          <w:lang w:bidi="ar"/>
        </w:rPr>
        <w:t>附件一：产品及服务清单</w:t>
      </w:r>
    </w:p>
    <w:tbl>
      <w:tblPr>
        <w:tblStyle w:val="23"/>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096"/>
        <w:gridCol w:w="1452"/>
        <w:gridCol w:w="2310"/>
        <w:gridCol w:w="1200"/>
        <w:gridCol w:w="1450"/>
      </w:tblGrid>
      <w:tr w14:paraId="350C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485" w:type="pct"/>
            <w:noWrap w:val="0"/>
            <w:vAlign w:val="center"/>
          </w:tcPr>
          <w:p w14:paraId="4DB8457A">
            <w:pPr>
              <w:widowControl/>
              <w:spacing w:before="0" w:beforeLines="0" w:after="0" w:line="576" w:lineRule="exact"/>
              <w:ind w:firstLine="0"/>
              <w:jc w:val="center"/>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序号</w:t>
            </w:r>
          </w:p>
        </w:tc>
        <w:tc>
          <w:tcPr>
            <w:tcW w:w="658" w:type="pct"/>
            <w:noWrap w:val="0"/>
            <w:vAlign w:val="center"/>
          </w:tcPr>
          <w:p w14:paraId="3C5D5BBA">
            <w:pPr>
              <w:widowControl/>
              <w:spacing w:before="0" w:beforeLines="0" w:after="0" w:line="576" w:lineRule="exact"/>
              <w:ind w:firstLine="0"/>
              <w:jc w:val="center"/>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val="en-US" w:eastAsia="zh-CN" w:bidi="ar"/>
              </w:rPr>
              <w:t>软件产品名称</w:t>
            </w:r>
          </w:p>
        </w:tc>
        <w:tc>
          <w:tcPr>
            <w:tcW w:w="873" w:type="pct"/>
            <w:noWrap w:val="0"/>
            <w:vAlign w:val="center"/>
          </w:tcPr>
          <w:p w14:paraId="15A1E446">
            <w:pPr>
              <w:widowControl/>
              <w:spacing w:before="0" w:beforeLines="0" w:after="0" w:line="576" w:lineRule="exact"/>
              <w:ind w:firstLine="0"/>
              <w:jc w:val="center"/>
              <w:rPr>
                <w:rFonts w:hint="eastAsia" w:ascii="仿宋_GB2312" w:hAnsi="Times New Roman" w:eastAsia="仿宋_GB2312" w:cs="仿宋_GB2312"/>
                <w:b/>
                <w:bCs/>
                <w:color w:val="000000"/>
                <w:kern w:val="2"/>
                <w:sz w:val="24"/>
                <w:szCs w:val="24"/>
                <w:lang w:val="en-US" w:eastAsia="zh-CN" w:bidi="ar"/>
              </w:rPr>
            </w:pPr>
            <w:r>
              <w:rPr>
                <w:rFonts w:hint="eastAsia" w:ascii="仿宋_GB2312" w:hAnsi="Times New Roman" w:eastAsia="仿宋_GB2312" w:cs="仿宋_GB2312"/>
                <w:b/>
                <w:bCs/>
                <w:color w:val="000000"/>
                <w:kern w:val="2"/>
                <w:sz w:val="24"/>
                <w:szCs w:val="24"/>
                <w:lang w:val="en-US" w:eastAsia="zh-CN" w:bidi="ar"/>
              </w:rPr>
              <w:t>模块/服务名称</w:t>
            </w:r>
          </w:p>
        </w:tc>
        <w:tc>
          <w:tcPr>
            <w:tcW w:w="1388" w:type="pct"/>
            <w:noWrap w:val="0"/>
            <w:vAlign w:val="center"/>
          </w:tcPr>
          <w:p w14:paraId="6F493D33">
            <w:pPr>
              <w:widowControl/>
              <w:spacing w:before="0" w:beforeLines="0" w:after="0" w:line="576" w:lineRule="exact"/>
              <w:ind w:firstLine="0"/>
              <w:jc w:val="center"/>
              <w:rPr>
                <w:rFonts w:hint="eastAsia" w:ascii="仿宋_GB2312" w:hAnsi="Times New Roman" w:eastAsia="仿宋_GB2312" w:cs="仿宋_GB2312"/>
                <w:b/>
                <w:bCs/>
                <w:color w:val="000000"/>
                <w:kern w:val="2"/>
                <w:sz w:val="24"/>
                <w:szCs w:val="24"/>
                <w:lang w:val="en-US" w:eastAsia="zh-CN" w:bidi="ar"/>
              </w:rPr>
            </w:pPr>
            <w:r>
              <w:rPr>
                <w:rFonts w:hint="eastAsia" w:ascii="仿宋_GB2312" w:hAnsi="Times New Roman" w:eastAsia="仿宋_GB2312" w:cs="仿宋_GB2312"/>
                <w:b/>
                <w:bCs/>
                <w:color w:val="000000"/>
                <w:kern w:val="2"/>
                <w:sz w:val="24"/>
                <w:szCs w:val="24"/>
                <w:lang w:val="en-US" w:eastAsia="zh-CN" w:bidi="ar"/>
              </w:rPr>
              <w:t>模块功能/集成服务描述</w:t>
            </w:r>
          </w:p>
        </w:tc>
        <w:tc>
          <w:tcPr>
            <w:tcW w:w="721" w:type="pct"/>
            <w:noWrap w:val="0"/>
            <w:vAlign w:val="center"/>
          </w:tcPr>
          <w:p w14:paraId="111977D5">
            <w:pPr>
              <w:widowControl/>
              <w:spacing w:before="0" w:beforeLines="0" w:after="0" w:line="576" w:lineRule="exact"/>
              <w:ind w:firstLine="0"/>
              <w:jc w:val="center"/>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数量</w:t>
            </w:r>
          </w:p>
        </w:tc>
        <w:tc>
          <w:tcPr>
            <w:tcW w:w="871" w:type="pct"/>
            <w:noWrap w:val="0"/>
            <w:vAlign w:val="center"/>
          </w:tcPr>
          <w:p w14:paraId="351E1A3B">
            <w:pPr>
              <w:widowControl/>
              <w:spacing w:before="0" w:beforeLines="0" w:after="0" w:line="576" w:lineRule="exact"/>
              <w:ind w:firstLine="0"/>
              <w:jc w:val="center"/>
              <w:rPr>
                <w:rFonts w:hint="eastAsia" w:ascii="仿宋_GB2312" w:hAnsi="Times New Roman" w:eastAsia="仿宋_GB2312" w:cs="仿宋_GB2312"/>
                <w:b/>
                <w:bCs/>
                <w:color w:val="000000"/>
                <w:kern w:val="2"/>
                <w:sz w:val="24"/>
                <w:szCs w:val="24"/>
                <w:lang w:val="en-US" w:eastAsia="zh-CN" w:bidi="ar"/>
              </w:rPr>
            </w:pPr>
            <w:r>
              <w:rPr>
                <w:rFonts w:hint="eastAsia" w:ascii="仿宋_GB2312" w:hAnsi="Times New Roman" w:eastAsia="仿宋_GB2312" w:cs="仿宋_GB2312"/>
                <w:b/>
                <w:bCs/>
                <w:color w:val="000000"/>
                <w:kern w:val="2"/>
                <w:sz w:val="24"/>
                <w:szCs w:val="24"/>
                <w:lang w:val="en-US" w:eastAsia="zh-CN" w:bidi="ar"/>
              </w:rPr>
              <w:t>备注</w:t>
            </w:r>
          </w:p>
        </w:tc>
      </w:tr>
      <w:tr w14:paraId="79B5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85" w:type="pct"/>
            <w:noWrap w:val="0"/>
            <w:vAlign w:val="center"/>
          </w:tcPr>
          <w:p w14:paraId="4683D533">
            <w:pPr>
              <w:widowControl/>
              <w:spacing w:before="50" w:after="50" w:line="440" w:lineRule="exact"/>
              <w:ind w:firstLine="480" w:firstLineChars="200"/>
              <w:jc w:val="center"/>
              <w:rPr>
                <w:rFonts w:ascii="仿宋" w:hAnsi="仿宋" w:eastAsia="仿宋" w:cs="仿宋"/>
                <w:color w:val="000000"/>
                <w:kern w:val="0"/>
                <w:sz w:val="24"/>
                <w:szCs w:val="24"/>
              </w:rPr>
            </w:pPr>
          </w:p>
        </w:tc>
        <w:tc>
          <w:tcPr>
            <w:tcW w:w="658" w:type="pct"/>
            <w:noWrap w:val="0"/>
            <w:vAlign w:val="center"/>
          </w:tcPr>
          <w:p w14:paraId="61C330DF">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3" w:type="pct"/>
            <w:noWrap w:val="0"/>
            <w:vAlign w:val="top"/>
          </w:tcPr>
          <w:p w14:paraId="251A2D2C">
            <w:pPr>
              <w:spacing w:before="50" w:after="50" w:line="440" w:lineRule="exact"/>
              <w:ind w:firstLine="480" w:firstLineChars="200"/>
              <w:jc w:val="center"/>
              <w:rPr>
                <w:rFonts w:ascii="仿宋" w:hAnsi="仿宋" w:eastAsia="仿宋" w:cs="仿宋"/>
                <w:color w:val="000000"/>
                <w:sz w:val="24"/>
                <w:szCs w:val="24"/>
              </w:rPr>
            </w:pPr>
          </w:p>
        </w:tc>
        <w:tc>
          <w:tcPr>
            <w:tcW w:w="1388" w:type="pct"/>
            <w:noWrap w:val="0"/>
            <w:vAlign w:val="center"/>
          </w:tcPr>
          <w:p w14:paraId="0AF0AA69">
            <w:pPr>
              <w:spacing w:before="50" w:after="50" w:line="440" w:lineRule="exact"/>
              <w:ind w:firstLine="480" w:firstLineChars="200"/>
              <w:jc w:val="center"/>
              <w:rPr>
                <w:rFonts w:ascii="仿宋" w:hAnsi="仿宋" w:eastAsia="仿宋" w:cs="仿宋"/>
                <w:color w:val="000000"/>
                <w:sz w:val="24"/>
                <w:szCs w:val="24"/>
              </w:rPr>
            </w:pPr>
          </w:p>
        </w:tc>
        <w:tc>
          <w:tcPr>
            <w:tcW w:w="721" w:type="pct"/>
            <w:noWrap w:val="0"/>
            <w:vAlign w:val="center"/>
          </w:tcPr>
          <w:p w14:paraId="479BFC9E">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1" w:type="pct"/>
            <w:noWrap w:val="0"/>
            <w:vAlign w:val="center"/>
          </w:tcPr>
          <w:p w14:paraId="758DD6D9">
            <w:pPr>
              <w:widowControl/>
              <w:spacing w:before="50" w:after="50" w:line="440" w:lineRule="exact"/>
              <w:ind w:firstLine="480" w:firstLineChars="200"/>
              <w:jc w:val="center"/>
              <w:rPr>
                <w:rFonts w:ascii="仿宋" w:hAnsi="仿宋" w:eastAsia="仿宋" w:cs="仿宋"/>
                <w:color w:val="000000"/>
                <w:kern w:val="0"/>
                <w:sz w:val="24"/>
                <w:szCs w:val="24"/>
              </w:rPr>
            </w:pPr>
          </w:p>
        </w:tc>
      </w:tr>
      <w:tr w14:paraId="3F61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85" w:type="pct"/>
            <w:noWrap w:val="0"/>
            <w:vAlign w:val="center"/>
          </w:tcPr>
          <w:p w14:paraId="30A05F9C">
            <w:pPr>
              <w:widowControl/>
              <w:spacing w:before="50" w:after="50" w:line="440" w:lineRule="exact"/>
              <w:ind w:firstLine="480" w:firstLineChars="200"/>
              <w:jc w:val="center"/>
              <w:rPr>
                <w:rFonts w:ascii="仿宋" w:hAnsi="仿宋" w:eastAsia="仿宋" w:cs="仿宋"/>
                <w:color w:val="000000"/>
                <w:kern w:val="0"/>
                <w:sz w:val="24"/>
                <w:szCs w:val="24"/>
              </w:rPr>
            </w:pPr>
          </w:p>
        </w:tc>
        <w:tc>
          <w:tcPr>
            <w:tcW w:w="658" w:type="pct"/>
            <w:noWrap w:val="0"/>
            <w:vAlign w:val="center"/>
          </w:tcPr>
          <w:p w14:paraId="01D834E0">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3" w:type="pct"/>
            <w:noWrap w:val="0"/>
            <w:vAlign w:val="top"/>
          </w:tcPr>
          <w:p w14:paraId="1DEBDA14">
            <w:pPr>
              <w:spacing w:before="50" w:after="50" w:line="440" w:lineRule="exact"/>
              <w:ind w:firstLine="480" w:firstLineChars="200"/>
              <w:jc w:val="center"/>
              <w:rPr>
                <w:rFonts w:ascii="仿宋" w:hAnsi="仿宋" w:eastAsia="仿宋" w:cs="仿宋"/>
                <w:color w:val="000000"/>
                <w:sz w:val="24"/>
                <w:szCs w:val="24"/>
              </w:rPr>
            </w:pPr>
          </w:p>
        </w:tc>
        <w:tc>
          <w:tcPr>
            <w:tcW w:w="1388" w:type="pct"/>
            <w:noWrap w:val="0"/>
            <w:vAlign w:val="center"/>
          </w:tcPr>
          <w:p w14:paraId="1EC722AE">
            <w:pPr>
              <w:spacing w:before="50" w:after="50" w:line="440" w:lineRule="exact"/>
              <w:ind w:firstLine="480" w:firstLineChars="200"/>
              <w:jc w:val="center"/>
              <w:rPr>
                <w:rFonts w:ascii="仿宋" w:hAnsi="仿宋" w:eastAsia="仿宋" w:cs="仿宋"/>
                <w:color w:val="000000"/>
                <w:sz w:val="24"/>
                <w:szCs w:val="24"/>
              </w:rPr>
            </w:pPr>
          </w:p>
        </w:tc>
        <w:tc>
          <w:tcPr>
            <w:tcW w:w="721" w:type="pct"/>
            <w:noWrap w:val="0"/>
            <w:vAlign w:val="center"/>
          </w:tcPr>
          <w:p w14:paraId="649AE450">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1" w:type="pct"/>
            <w:noWrap w:val="0"/>
            <w:vAlign w:val="center"/>
          </w:tcPr>
          <w:p w14:paraId="482755C3">
            <w:pPr>
              <w:widowControl/>
              <w:spacing w:before="50" w:after="50" w:line="440" w:lineRule="exact"/>
              <w:ind w:firstLine="480" w:firstLineChars="200"/>
              <w:jc w:val="center"/>
              <w:rPr>
                <w:rFonts w:ascii="仿宋" w:hAnsi="仿宋" w:eastAsia="仿宋" w:cs="仿宋"/>
                <w:color w:val="000000"/>
                <w:kern w:val="0"/>
                <w:sz w:val="24"/>
                <w:szCs w:val="24"/>
              </w:rPr>
            </w:pPr>
          </w:p>
        </w:tc>
      </w:tr>
      <w:tr w14:paraId="3497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85" w:type="pct"/>
            <w:noWrap w:val="0"/>
            <w:vAlign w:val="center"/>
          </w:tcPr>
          <w:p w14:paraId="7C2297DD">
            <w:pPr>
              <w:widowControl/>
              <w:spacing w:before="50" w:after="50" w:line="440" w:lineRule="exact"/>
              <w:ind w:firstLine="480" w:firstLineChars="200"/>
              <w:jc w:val="center"/>
              <w:rPr>
                <w:rFonts w:ascii="仿宋" w:hAnsi="仿宋" w:eastAsia="仿宋" w:cs="仿宋"/>
                <w:color w:val="000000"/>
                <w:kern w:val="0"/>
                <w:sz w:val="24"/>
                <w:szCs w:val="24"/>
              </w:rPr>
            </w:pPr>
          </w:p>
        </w:tc>
        <w:tc>
          <w:tcPr>
            <w:tcW w:w="658" w:type="pct"/>
            <w:noWrap w:val="0"/>
            <w:vAlign w:val="center"/>
          </w:tcPr>
          <w:p w14:paraId="354276D1">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3" w:type="pct"/>
            <w:noWrap w:val="0"/>
            <w:vAlign w:val="top"/>
          </w:tcPr>
          <w:p w14:paraId="1572E038">
            <w:pPr>
              <w:spacing w:before="50" w:after="50" w:line="440" w:lineRule="exact"/>
              <w:ind w:firstLine="480" w:firstLineChars="200"/>
              <w:jc w:val="center"/>
              <w:rPr>
                <w:rFonts w:ascii="仿宋" w:hAnsi="仿宋" w:eastAsia="仿宋" w:cs="仿宋"/>
                <w:color w:val="000000"/>
                <w:sz w:val="24"/>
                <w:szCs w:val="24"/>
              </w:rPr>
            </w:pPr>
          </w:p>
        </w:tc>
        <w:tc>
          <w:tcPr>
            <w:tcW w:w="1388" w:type="pct"/>
            <w:noWrap w:val="0"/>
            <w:vAlign w:val="center"/>
          </w:tcPr>
          <w:p w14:paraId="7465DD9E">
            <w:pPr>
              <w:spacing w:before="50" w:after="50" w:line="440" w:lineRule="exact"/>
              <w:ind w:firstLine="480" w:firstLineChars="200"/>
              <w:jc w:val="center"/>
              <w:rPr>
                <w:rFonts w:ascii="仿宋" w:hAnsi="仿宋" w:eastAsia="仿宋" w:cs="仿宋"/>
                <w:color w:val="000000"/>
                <w:sz w:val="24"/>
                <w:szCs w:val="24"/>
              </w:rPr>
            </w:pPr>
          </w:p>
        </w:tc>
        <w:tc>
          <w:tcPr>
            <w:tcW w:w="721" w:type="pct"/>
            <w:noWrap w:val="0"/>
            <w:vAlign w:val="center"/>
          </w:tcPr>
          <w:p w14:paraId="4F54285B">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1" w:type="pct"/>
            <w:noWrap w:val="0"/>
            <w:vAlign w:val="center"/>
          </w:tcPr>
          <w:p w14:paraId="24A23B7B">
            <w:pPr>
              <w:widowControl/>
              <w:spacing w:before="50" w:after="50" w:line="440" w:lineRule="exact"/>
              <w:ind w:firstLine="480" w:firstLineChars="200"/>
              <w:jc w:val="center"/>
              <w:rPr>
                <w:rFonts w:ascii="仿宋" w:hAnsi="仿宋" w:eastAsia="仿宋" w:cs="仿宋"/>
                <w:color w:val="000000"/>
                <w:kern w:val="0"/>
                <w:sz w:val="24"/>
                <w:szCs w:val="24"/>
              </w:rPr>
            </w:pPr>
          </w:p>
        </w:tc>
      </w:tr>
      <w:tr w14:paraId="0DBC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85" w:type="pct"/>
            <w:noWrap w:val="0"/>
            <w:vAlign w:val="center"/>
          </w:tcPr>
          <w:p w14:paraId="226A914D">
            <w:pPr>
              <w:widowControl/>
              <w:spacing w:before="50" w:after="50" w:line="440" w:lineRule="exact"/>
              <w:ind w:firstLine="480" w:firstLineChars="200"/>
              <w:jc w:val="center"/>
              <w:rPr>
                <w:rFonts w:ascii="仿宋" w:hAnsi="仿宋" w:eastAsia="仿宋" w:cs="仿宋"/>
                <w:color w:val="000000"/>
                <w:kern w:val="0"/>
                <w:sz w:val="24"/>
                <w:szCs w:val="24"/>
              </w:rPr>
            </w:pPr>
          </w:p>
        </w:tc>
        <w:tc>
          <w:tcPr>
            <w:tcW w:w="658" w:type="pct"/>
            <w:noWrap w:val="0"/>
            <w:vAlign w:val="center"/>
          </w:tcPr>
          <w:p w14:paraId="5CE5B2EB">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3" w:type="pct"/>
            <w:noWrap w:val="0"/>
            <w:vAlign w:val="top"/>
          </w:tcPr>
          <w:p w14:paraId="5160EBFC">
            <w:pPr>
              <w:spacing w:before="50" w:after="50" w:line="440" w:lineRule="exact"/>
              <w:ind w:firstLine="480" w:firstLineChars="200"/>
              <w:jc w:val="center"/>
              <w:rPr>
                <w:rFonts w:ascii="仿宋" w:hAnsi="仿宋" w:eastAsia="仿宋" w:cs="仿宋"/>
                <w:color w:val="000000"/>
                <w:sz w:val="24"/>
                <w:szCs w:val="24"/>
              </w:rPr>
            </w:pPr>
          </w:p>
        </w:tc>
        <w:tc>
          <w:tcPr>
            <w:tcW w:w="1388" w:type="pct"/>
            <w:noWrap w:val="0"/>
            <w:vAlign w:val="center"/>
          </w:tcPr>
          <w:p w14:paraId="15DFD3AF">
            <w:pPr>
              <w:spacing w:before="50" w:after="50" w:line="440" w:lineRule="exact"/>
              <w:ind w:firstLine="480" w:firstLineChars="200"/>
              <w:jc w:val="center"/>
              <w:rPr>
                <w:rFonts w:ascii="仿宋" w:hAnsi="仿宋" w:eastAsia="仿宋" w:cs="仿宋"/>
                <w:color w:val="000000"/>
                <w:sz w:val="24"/>
                <w:szCs w:val="24"/>
              </w:rPr>
            </w:pPr>
          </w:p>
        </w:tc>
        <w:tc>
          <w:tcPr>
            <w:tcW w:w="721" w:type="pct"/>
            <w:noWrap w:val="0"/>
            <w:vAlign w:val="center"/>
          </w:tcPr>
          <w:p w14:paraId="0585485F">
            <w:pPr>
              <w:widowControl/>
              <w:spacing w:before="50" w:after="50" w:line="440" w:lineRule="exact"/>
              <w:ind w:firstLine="480" w:firstLineChars="200"/>
              <w:jc w:val="center"/>
              <w:rPr>
                <w:rFonts w:ascii="仿宋" w:hAnsi="仿宋" w:eastAsia="仿宋" w:cs="仿宋"/>
                <w:color w:val="000000"/>
                <w:kern w:val="0"/>
                <w:sz w:val="24"/>
                <w:szCs w:val="24"/>
              </w:rPr>
            </w:pPr>
          </w:p>
        </w:tc>
        <w:tc>
          <w:tcPr>
            <w:tcW w:w="871" w:type="pct"/>
            <w:noWrap w:val="0"/>
            <w:vAlign w:val="center"/>
          </w:tcPr>
          <w:p w14:paraId="10D0B89C">
            <w:pPr>
              <w:widowControl/>
              <w:spacing w:before="50" w:after="50" w:line="440" w:lineRule="exact"/>
              <w:ind w:firstLine="480" w:firstLineChars="200"/>
              <w:jc w:val="center"/>
              <w:rPr>
                <w:rFonts w:ascii="仿宋" w:hAnsi="仿宋" w:eastAsia="仿宋" w:cs="仿宋"/>
                <w:color w:val="000000"/>
                <w:kern w:val="0"/>
                <w:sz w:val="24"/>
                <w:szCs w:val="24"/>
              </w:rPr>
            </w:pPr>
          </w:p>
        </w:tc>
      </w:tr>
    </w:tbl>
    <w:p w14:paraId="2283DEB9">
      <w:pPr>
        <w:widowControl/>
        <w:spacing w:line="360" w:lineRule="auto"/>
        <w:rPr>
          <w:rFonts w:ascii="仿宋" w:hAnsi="仿宋" w:eastAsia="仿宋" w:cs="仿宋"/>
        </w:rPr>
        <w:sectPr>
          <w:headerReference r:id="rId16" w:type="first"/>
          <w:footerReference r:id="rId18" w:type="first"/>
          <w:headerReference r:id="rId15" w:type="default"/>
          <w:footerReference r:id="rId17" w:type="default"/>
          <w:pgSz w:w="11906" w:h="16838"/>
          <w:pgMar w:top="1440" w:right="1800" w:bottom="1440" w:left="1800" w:header="850" w:footer="992" w:gutter="0"/>
          <w:pgNumType w:fmt="chineseCounting"/>
          <w:cols w:space="720" w:num="1"/>
          <w:titlePg/>
          <w:docGrid w:type="lines" w:linePitch="435" w:charSpace="0"/>
        </w:sectPr>
      </w:pPr>
    </w:p>
    <w:p w14:paraId="21CAE457">
      <w:pPr>
        <w:spacing w:beforeLines="0" w:line="576" w:lineRule="exact"/>
        <w:rPr>
          <w:rFonts w:hint="eastAsia" w:ascii="仿宋" w:hAnsi="仿宋" w:eastAsia="仿宋" w:cs="仿宋"/>
          <w:b/>
          <w:bCs/>
          <w:sz w:val="24"/>
          <w:szCs w:val="28"/>
        </w:rPr>
      </w:pPr>
      <w:r>
        <w:rPr>
          <w:rFonts w:hint="eastAsia" w:ascii="仿宋_GB2312" w:hAnsi="Times New Roman" w:eastAsia="仿宋_GB2312" w:cs="仿宋_GB2312"/>
          <w:b/>
          <w:bCs/>
          <w:color w:val="000000"/>
          <w:kern w:val="2"/>
          <w:sz w:val="24"/>
          <w:szCs w:val="24"/>
          <w:lang w:bidi="ar"/>
        </w:rPr>
        <w:t>附件二：</w:t>
      </w:r>
      <w:r>
        <w:rPr>
          <w:rFonts w:hint="eastAsia" w:ascii="仿宋_GB2312" w:hAnsi="Times New Roman" w:eastAsia="仿宋_GB2312" w:cs="仿宋_GB2312"/>
          <w:b/>
          <w:bCs/>
          <w:color w:val="000000"/>
          <w:kern w:val="2"/>
          <w:sz w:val="24"/>
          <w:szCs w:val="24"/>
          <w:lang w:val="en-US" w:eastAsia="zh-CN" w:bidi="ar"/>
        </w:rPr>
        <w:t>系统</w:t>
      </w:r>
      <w:r>
        <w:rPr>
          <w:rFonts w:hint="eastAsia" w:ascii="仿宋_GB2312" w:hAnsi="Times New Roman" w:eastAsia="仿宋_GB2312" w:cs="仿宋_GB2312"/>
          <w:b/>
          <w:bCs/>
          <w:color w:val="000000"/>
          <w:kern w:val="2"/>
          <w:sz w:val="24"/>
          <w:szCs w:val="24"/>
          <w:lang w:bidi="ar"/>
        </w:rPr>
        <w:t>运维服务要求</w:t>
      </w:r>
    </w:p>
    <w:p w14:paraId="10D7F317">
      <w:pPr>
        <w:pStyle w:val="51"/>
        <w:spacing w:line="576" w:lineRule="exact"/>
        <w:ind w:firstLine="482" w:firstLineChars="200"/>
        <w:rPr>
          <w:rFonts w:hint="default" w:ascii="仿宋" w:hAnsi="仿宋" w:eastAsia="仿宋" w:cs="仿宋"/>
          <w:b/>
          <w:bCs/>
          <w:sz w:val="24"/>
          <w:szCs w:val="28"/>
          <w:lang w:val="en-US" w:eastAsia="zh-CN"/>
        </w:rPr>
      </w:pPr>
      <w:r>
        <w:rPr>
          <w:rFonts w:hint="eastAsia" w:ascii="仿宋" w:hAnsi="仿宋" w:eastAsia="仿宋" w:cs="仿宋"/>
          <w:b/>
          <w:bCs/>
          <w:sz w:val="24"/>
          <w:szCs w:val="28"/>
          <w:lang w:val="en-US" w:eastAsia="zh-CN"/>
        </w:rPr>
        <w:t>1.系统维护服务内容</w:t>
      </w:r>
    </w:p>
    <w:tbl>
      <w:tblPr>
        <w:tblStyle w:val="23"/>
        <w:tblpPr w:leftFromText="180" w:rightFromText="180" w:vertAnchor="text" w:horzAnchor="page" w:tblpX="1685" w:tblpY="128"/>
        <w:tblOverlap w:val="never"/>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618"/>
        <w:gridCol w:w="2061"/>
        <w:gridCol w:w="4697"/>
      </w:tblGrid>
      <w:tr w14:paraId="5AC8C7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1" w:hRule="atLeast"/>
        </w:trPr>
        <w:tc>
          <w:tcPr>
            <w:tcW w:w="2196" w:type="pct"/>
            <w:gridSpan w:val="2"/>
            <w:tcBorders>
              <w:top w:val="single" w:color="000000" w:sz="6" w:space="0"/>
              <w:left w:val="single" w:color="000000" w:sz="6" w:space="0"/>
              <w:bottom w:val="single" w:color="000000" w:sz="6" w:space="0"/>
              <w:right w:val="single" w:color="000000" w:sz="6" w:space="0"/>
              <w:tl2br w:val="single" w:color="000000" w:sz="6" w:space="0"/>
            </w:tcBorders>
            <w:noWrap w:val="0"/>
            <w:vAlign w:val="center"/>
          </w:tcPr>
          <w:p w14:paraId="0BBA72B4">
            <w:pPr>
              <w:spacing w:beforeLines="0" w:line="240" w:lineRule="auto"/>
              <w:ind w:firstLine="0" w:firstLineChars="0"/>
              <w:jc w:val="right"/>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val="0"/>
                <w:bCs w:val="0"/>
                <w:color w:val="000000"/>
                <w:kern w:val="2"/>
                <w:sz w:val="24"/>
                <w:szCs w:val="24"/>
                <w:lang w:bidi="ar"/>
              </w:rPr>
              <w:t>类别</w:t>
            </w:r>
          </w:p>
          <w:p w14:paraId="5DF1CAD3">
            <w:pPr>
              <w:spacing w:beforeLines="0" w:line="240" w:lineRule="auto"/>
              <w:jc w:val="left"/>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模块</w:t>
            </w:r>
          </w:p>
        </w:tc>
        <w:tc>
          <w:tcPr>
            <w:tcW w:w="2803" w:type="pct"/>
            <w:tcBorders>
              <w:top w:val="single" w:color="000000" w:sz="6" w:space="0"/>
              <w:left w:val="single" w:color="000000" w:sz="6" w:space="0"/>
              <w:bottom w:val="single" w:color="000000" w:sz="6" w:space="0"/>
              <w:right w:val="single" w:color="000000" w:sz="6" w:space="0"/>
            </w:tcBorders>
            <w:noWrap w:val="0"/>
            <w:vAlign w:val="center"/>
          </w:tcPr>
          <w:p w14:paraId="4D073047">
            <w:pPr>
              <w:spacing w:beforeLines="0" w:line="240" w:lineRule="auto"/>
              <w:jc w:val="center"/>
              <w:rPr>
                <w:rFonts w:hint="eastAsia" w:ascii="宋体" w:hAnsi="宋体" w:eastAsia="宋体" w:cs="Arial"/>
                <w:b/>
                <w:sz w:val="21"/>
                <w:szCs w:val="21"/>
                <w:lang w:val="en-US" w:eastAsia="zh-CN"/>
              </w:rPr>
            </w:pPr>
            <w:r>
              <w:rPr>
                <w:rFonts w:hint="eastAsia" w:ascii="仿宋_GB2312" w:hAnsi="Times New Roman" w:eastAsia="仿宋_GB2312" w:cs="仿宋_GB2312"/>
                <w:b/>
                <w:bCs/>
                <w:color w:val="000000"/>
                <w:kern w:val="2"/>
                <w:sz w:val="24"/>
                <w:szCs w:val="24"/>
                <w:lang w:val="en-US" w:eastAsia="zh-CN" w:bidi="ar"/>
              </w:rPr>
              <w:t>系统</w:t>
            </w:r>
            <w:r>
              <w:rPr>
                <w:rFonts w:hint="eastAsia" w:ascii="仿宋_GB2312" w:hAnsi="Times New Roman" w:eastAsia="仿宋_GB2312" w:cs="仿宋_GB2312"/>
                <w:b/>
                <w:bCs/>
                <w:color w:val="000000"/>
                <w:kern w:val="2"/>
                <w:sz w:val="24"/>
                <w:szCs w:val="24"/>
                <w:lang w:bidi="ar"/>
              </w:rPr>
              <w:t>维护服务</w:t>
            </w:r>
            <w:r>
              <w:rPr>
                <w:rFonts w:hint="eastAsia" w:ascii="仿宋_GB2312" w:hAnsi="Times New Roman" w:eastAsia="仿宋_GB2312" w:cs="仿宋_GB2312"/>
                <w:b/>
                <w:bCs/>
                <w:color w:val="000000"/>
                <w:kern w:val="2"/>
                <w:sz w:val="24"/>
                <w:szCs w:val="24"/>
                <w:lang w:val="en-US" w:eastAsia="zh-CN" w:bidi="ar"/>
              </w:rPr>
              <w:t>内容</w:t>
            </w:r>
          </w:p>
        </w:tc>
      </w:tr>
      <w:tr w14:paraId="10960D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66" w:type="pct"/>
            <w:vMerge w:val="restart"/>
            <w:tcBorders>
              <w:top w:val="single" w:color="000000" w:sz="6" w:space="0"/>
              <w:left w:val="single" w:color="000000" w:sz="6" w:space="0"/>
              <w:bottom w:val="single" w:color="000000" w:sz="6" w:space="0"/>
            </w:tcBorders>
            <w:noWrap w:val="0"/>
            <w:vAlign w:val="center"/>
          </w:tcPr>
          <w:p w14:paraId="3A523B4B">
            <w:pPr>
              <w:spacing w:beforeLines="0" w:line="240" w:lineRule="auto"/>
              <w:jc w:val="center"/>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基本服务</w:t>
            </w:r>
          </w:p>
        </w:tc>
        <w:tc>
          <w:tcPr>
            <w:tcW w:w="1229" w:type="pct"/>
            <w:tcBorders>
              <w:top w:val="single" w:color="000000" w:sz="6" w:space="0"/>
              <w:bottom w:val="single" w:color="000000" w:sz="6" w:space="0"/>
            </w:tcBorders>
            <w:noWrap w:val="0"/>
            <w:vAlign w:val="center"/>
          </w:tcPr>
          <w:p w14:paraId="7A0C583A">
            <w:pPr>
              <w:spacing w:beforeLines="0" w:line="576" w:lineRule="exact"/>
              <w:jc w:val="center"/>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在线服务请求</w:t>
            </w:r>
          </w:p>
          <w:p w14:paraId="1904E3C6">
            <w:pPr>
              <w:spacing w:beforeLines="0" w:line="576" w:lineRule="exact"/>
              <w:jc w:val="center"/>
              <w:rPr>
                <w:rFonts w:hint="eastAsia" w:ascii="宋体" w:hAnsi="宋体" w:eastAsia="宋体" w:cs="Arial"/>
                <w:b/>
                <w:bCs/>
                <w:sz w:val="21"/>
                <w:szCs w:val="21"/>
              </w:rPr>
            </w:pPr>
            <w:r>
              <w:rPr>
                <w:rFonts w:hint="eastAsia" w:ascii="仿宋_GB2312" w:hAnsi="Times New Roman" w:eastAsia="仿宋_GB2312" w:cs="仿宋_GB2312"/>
                <w:b/>
                <w:bCs/>
                <w:color w:val="000000"/>
                <w:kern w:val="2"/>
                <w:sz w:val="24"/>
                <w:szCs w:val="24"/>
                <w:lang w:bidi="ar"/>
              </w:rPr>
              <w:t>支持</w:t>
            </w:r>
          </w:p>
        </w:tc>
        <w:tc>
          <w:tcPr>
            <w:tcW w:w="2803" w:type="pct"/>
            <w:tcBorders>
              <w:top w:val="single" w:color="000000" w:sz="6" w:space="0"/>
              <w:bottom w:val="single" w:color="000000" w:sz="6" w:space="0"/>
              <w:right w:val="single" w:color="000000" w:sz="6" w:space="0"/>
            </w:tcBorders>
            <w:noWrap w:val="0"/>
            <w:vAlign w:val="center"/>
          </w:tcPr>
          <w:p w14:paraId="0C633834">
            <w:pPr>
              <w:numPr>
                <w:ilvl w:val="0"/>
                <w:numId w:val="20"/>
              </w:numPr>
              <w:jc w:val="both"/>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基本服务提供7×24小时的在线技术支持服务，包括提供专门的客户热线电话、网站、邮件等在线方式，及专职的客服人员受理客户服务请求（咨询、建议、投诉和故障等）；</w:t>
            </w:r>
          </w:p>
          <w:p w14:paraId="761F85C1">
            <w:pPr>
              <w:numPr>
                <w:ilvl w:val="0"/>
                <w:numId w:val="20"/>
              </w:numPr>
              <w:jc w:val="both"/>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提供标准的故障分级请求处理流程和规范，并在标准定义的基础上自动上升一个级别；</w:t>
            </w:r>
          </w:p>
        </w:tc>
      </w:tr>
      <w:tr w14:paraId="05DB8A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66" w:type="pct"/>
            <w:vMerge w:val="continue"/>
            <w:tcBorders>
              <w:top w:val="single" w:color="000000" w:sz="6" w:space="0"/>
              <w:left w:val="single" w:color="000000" w:sz="6" w:space="0"/>
              <w:bottom w:val="single" w:color="000000" w:sz="6" w:space="0"/>
            </w:tcBorders>
            <w:noWrap w:val="0"/>
            <w:vAlign w:val="center"/>
          </w:tcPr>
          <w:p w14:paraId="1D4402D1">
            <w:pPr>
              <w:jc w:val="center"/>
              <w:rPr>
                <w:rFonts w:hint="eastAsia" w:ascii="宋体" w:hAnsi="宋体" w:eastAsia="宋体" w:cs="Arial"/>
                <w:sz w:val="21"/>
                <w:szCs w:val="21"/>
              </w:rPr>
            </w:pPr>
          </w:p>
        </w:tc>
        <w:tc>
          <w:tcPr>
            <w:tcW w:w="1229" w:type="pct"/>
            <w:tcBorders>
              <w:top w:val="single" w:color="000000" w:sz="6" w:space="0"/>
              <w:bottom w:val="single" w:color="000000" w:sz="6" w:space="0"/>
            </w:tcBorders>
            <w:noWrap w:val="0"/>
            <w:vAlign w:val="center"/>
          </w:tcPr>
          <w:p w14:paraId="79933F59">
            <w:pPr>
              <w:spacing w:beforeLines="0" w:line="576" w:lineRule="exact"/>
              <w:jc w:val="center"/>
              <w:rPr>
                <w:rFonts w:hint="eastAsia" w:ascii="宋体" w:hAnsi="宋体" w:eastAsia="宋体" w:cs="Arial"/>
                <w:b/>
                <w:bCs/>
                <w:sz w:val="21"/>
                <w:szCs w:val="21"/>
              </w:rPr>
            </w:pPr>
            <w:r>
              <w:rPr>
                <w:rFonts w:hint="eastAsia" w:ascii="仿宋_GB2312" w:hAnsi="Times New Roman" w:eastAsia="仿宋_GB2312" w:cs="仿宋_GB2312"/>
                <w:b/>
                <w:bCs/>
                <w:color w:val="000000"/>
                <w:kern w:val="2"/>
                <w:sz w:val="24"/>
                <w:szCs w:val="24"/>
                <w:lang w:bidi="ar"/>
              </w:rPr>
              <w:t>产品信息通知和预见服务</w:t>
            </w:r>
          </w:p>
        </w:tc>
        <w:tc>
          <w:tcPr>
            <w:tcW w:w="2803" w:type="pct"/>
            <w:tcBorders>
              <w:top w:val="single" w:color="000000" w:sz="6" w:space="0"/>
              <w:bottom w:val="single" w:color="000000" w:sz="6" w:space="0"/>
              <w:right w:val="single" w:color="000000" w:sz="6" w:space="0"/>
            </w:tcBorders>
            <w:noWrap w:val="0"/>
            <w:vAlign w:val="center"/>
          </w:tcPr>
          <w:p w14:paraId="7E36E376">
            <w:pPr>
              <w:numPr>
                <w:ilvl w:val="0"/>
                <w:numId w:val="20"/>
              </w:numPr>
              <w:jc w:val="both"/>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通过各种在线渠道（电话、电子邮件、网站）提供产品新的动态（重大BUG修正）</w:t>
            </w:r>
          </w:p>
        </w:tc>
      </w:tr>
      <w:tr w14:paraId="57E7AF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66" w:type="pct"/>
            <w:vMerge w:val="restart"/>
            <w:tcBorders>
              <w:top w:val="single" w:color="000000" w:sz="6" w:space="0"/>
              <w:left w:val="single" w:color="000000" w:sz="6" w:space="0"/>
            </w:tcBorders>
            <w:noWrap w:val="0"/>
            <w:vAlign w:val="center"/>
          </w:tcPr>
          <w:p w14:paraId="03DE6F20">
            <w:pPr>
              <w:spacing w:beforeLines="0" w:line="240" w:lineRule="auto"/>
              <w:jc w:val="center"/>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软件修补</w:t>
            </w:r>
          </w:p>
          <w:p w14:paraId="4B5C75D3">
            <w:pPr>
              <w:spacing w:beforeLines="0"/>
              <w:jc w:val="center"/>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和升级</w:t>
            </w:r>
          </w:p>
        </w:tc>
        <w:tc>
          <w:tcPr>
            <w:tcW w:w="1229" w:type="pct"/>
            <w:tcBorders>
              <w:top w:val="single" w:color="000000" w:sz="6" w:space="0"/>
              <w:bottom w:val="single" w:color="000000" w:sz="6" w:space="0"/>
            </w:tcBorders>
            <w:noWrap w:val="0"/>
            <w:vAlign w:val="center"/>
          </w:tcPr>
          <w:p w14:paraId="07EE8251">
            <w:pPr>
              <w:spacing w:beforeLines="0" w:line="576" w:lineRule="exact"/>
              <w:jc w:val="center"/>
              <w:rPr>
                <w:rFonts w:hint="eastAsia" w:ascii="宋体" w:hAnsi="宋体" w:eastAsia="宋体" w:cs="Arial"/>
                <w:b/>
                <w:bCs/>
                <w:sz w:val="21"/>
                <w:szCs w:val="21"/>
              </w:rPr>
            </w:pPr>
            <w:r>
              <w:rPr>
                <w:rFonts w:hint="eastAsia" w:ascii="仿宋_GB2312" w:hAnsi="Times New Roman" w:eastAsia="仿宋_GB2312" w:cs="仿宋_GB2312"/>
                <w:b/>
                <w:bCs/>
                <w:color w:val="000000"/>
                <w:kern w:val="2"/>
                <w:sz w:val="24"/>
                <w:szCs w:val="24"/>
                <w:lang w:bidi="ar"/>
              </w:rPr>
              <w:t>软件修补</w:t>
            </w:r>
          </w:p>
        </w:tc>
        <w:tc>
          <w:tcPr>
            <w:tcW w:w="2803" w:type="pct"/>
            <w:tcBorders>
              <w:top w:val="single" w:color="000000" w:sz="6" w:space="0"/>
              <w:bottom w:val="single" w:color="000000" w:sz="6" w:space="0"/>
              <w:right w:val="single" w:color="000000" w:sz="6" w:space="0"/>
            </w:tcBorders>
            <w:noWrap w:val="0"/>
            <w:vAlign w:val="center"/>
          </w:tcPr>
          <w:p w14:paraId="0F039EAB">
            <w:pPr>
              <w:numPr>
                <w:ilvl w:val="0"/>
                <w:numId w:val="20"/>
              </w:numPr>
              <w:jc w:val="both"/>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提供软件的修补 (Patch)版本</w:t>
            </w:r>
            <w:r>
              <w:rPr>
                <w:rFonts w:hint="eastAsia" w:ascii="仿宋_GB2312" w:hAnsi="Times New Roman" w:eastAsia="仿宋_GB2312" w:cs="仿宋_GB2312"/>
                <w:bCs w:val="0"/>
                <w:color w:val="000000"/>
                <w:kern w:val="2"/>
                <w:sz w:val="24"/>
                <w:szCs w:val="24"/>
                <w:lang w:bidi="ar"/>
              </w:rPr>
              <w:t>安装包下载的快速通道</w:t>
            </w:r>
            <w:r>
              <w:rPr>
                <w:rFonts w:hint="eastAsia" w:ascii="仿宋_GB2312" w:hAnsi="Times New Roman" w:eastAsia="仿宋_GB2312" w:cs="仿宋_GB2312"/>
                <w:color w:val="000000"/>
                <w:kern w:val="2"/>
                <w:sz w:val="24"/>
                <w:szCs w:val="24"/>
                <w:lang w:bidi="ar"/>
              </w:rPr>
              <w:t>；</w:t>
            </w:r>
          </w:p>
          <w:p w14:paraId="02BB9846">
            <w:pPr>
              <w:numPr>
                <w:ilvl w:val="0"/>
                <w:numId w:val="20"/>
              </w:numPr>
              <w:jc w:val="both"/>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仅限于软件小版本；</w:t>
            </w:r>
          </w:p>
        </w:tc>
      </w:tr>
      <w:tr w14:paraId="288B3A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66" w:type="pct"/>
            <w:vMerge w:val="continue"/>
            <w:tcBorders>
              <w:left w:val="single" w:color="000000" w:sz="6" w:space="0"/>
            </w:tcBorders>
            <w:noWrap w:val="0"/>
            <w:vAlign w:val="center"/>
          </w:tcPr>
          <w:p w14:paraId="16A0F99C">
            <w:pPr>
              <w:jc w:val="center"/>
              <w:rPr>
                <w:rFonts w:hint="eastAsia" w:ascii="宋体" w:hAnsi="宋体" w:eastAsia="宋体" w:cs="Arial"/>
                <w:sz w:val="21"/>
                <w:szCs w:val="21"/>
              </w:rPr>
            </w:pPr>
          </w:p>
        </w:tc>
        <w:tc>
          <w:tcPr>
            <w:tcW w:w="1229" w:type="pct"/>
            <w:tcBorders>
              <w:top w:val="single" w:color="000000" w:sz="6" w:space="0"/>
              <w:bottom w:val="single" w:color="000000" w:sz="6" w:space="0"/>
            </w:tcBorders>
            <w:noWrap w:val="0"/>
            <w:vAlign w:val="center"/>
          </w:tcPr>
          <w:p w14:paraId="3A77D96E">
            <w:pPr>
              <w:spacing w:beforeLines="0" w:line="576" w:lineRule="exact"/>
              <w:jc w:val="center"/>
              <w:rPr>
                <w:rFonts w:hint="eastAsia" w:ascii="宋体" w:hAnsi="宋体" w:eastAsia="宋体" w:cs="Arial"/>
                <w:b/>
                <w:bCs/>
                <w:sz w:val="21"/>
                <w:szCs w:val="21"/>
              </w:rPr>
            </w:pPr>
            <w:r>
              <w:rPr>
                <w:rFonts w:hint="eastAsia" w:ascii="仿宋_GB2312" w:hAnsi="Times New Roman" w:eastAsia="仿宋_GB2312" w:cs="仿宋_GB2312"/>
                <w:b/>
                <w:bCs/>
                <w:color w:val="000000"/>
                <w:kern w:val="2"/>
                <w:sz w:val="24"/>
                <w:szCs w:val="24"/>
                <w:lang w:bidi="ar"/>
              </w:rPr>
              <w:t>产品升级</w:t>
            </w:r>
          </w:p>
        </w:tc>
        <w:tc>
          <w:tcPr>
            <w:tcW w:w="2803" w:type="pct"/>
            <w:tcBorders>
              <w:top w:val="single" w:color="000000" w:sz="6" w:space="0"/>
              <w:bottom w:val="single" w:color="000000" w:sz="6" w:space="0"/>
              <w:right w:val="single" w:color="000000" w:sz="6" w:space="0"/>
            </w:tcBorders>
            <w:noWrap w:val="0"/>
            <w:vAlign w:val="center"/>
          </w:tcPr>
          <w:p w14:paraId="1CA3121B">
            <w:pPr>
              <w:numPr>
                <w:ilvl w:val="0"/>
                <w:numId w:val="20"/>
              </w:numPr>
              <w:jc w:val="both"/>
              <w:rPr>
                <w:rFonts w:hint="eastAsia" w:ascii="仿宋_GB2312" w:hAnsi="Times New Roman" w:eastAsia="仿宋_GB2312" w:cs="仿宋_GB2312"/>
                <w:bCs w:val="0"/>
                <w:color w:val="000000"/>
                <w:kern w:val="2"/>
                <w:sz w:val="24"/>
                <w:szCs w:val="24"/>
                <w:lang w:bidi="ar"/>
              </w:rPr>
            </w:pPr>
            <w:r>
              <w:rPr>
                <w:rFonts w:hint="eastAsia" w:ascii="仿宋_GB2312" w:hAnsi="Times New Roman" w:eastAsia="仿宋_GB2312" w:cs="仿宋_GB2312"/>
                <w:bCs w:val="0"/>
                <w:color w:val="000000"/>
                <w:kern w:val="2"/>
                <w:sz w:val="24"/>
                <w:szCs w:val="24"/>
                <w:lang w:bidi="ar"/>
              </w:rPr>
              <w:t>提供版本升级后安装包下载的快速通道；</w:t>
            </w:r>
          </w:p>
          <w:p w14:paraId="327B6F43">
            <w:pPr>
              <w:numPr>
                <w:ilvl w:val="0"/>
                <w:numId w:val="20"/>
              </w:numPr>
              <w:jc w:val="both"/>
              <w:rPr>
                <w:rFonts w:hint="eastAsia" w:ascii="仿宋_GB2312" w:hAnsi="Times New Roman" w:eastAsia="仿宋_GB2312" w:cs="仿宋_GB2312"/>
                <w:bCs w:val="0"/>
                <w:color w:val="000000"/>
                <w:kern w:val="2"/>
                <w:sz w:val="24"/>
                <w:szCs w:val="24"/>
                <w:lang w:bidi="ar"/>
              </w:rPr>
            </w:pPr>
            <w:r>
              <w:rPr>
                <w:rFonts w:hint="eastAsia" w:ascii="仿宋_GB2312" w:hAnsi="Times New Roman" w:eastAsia="仿宋_GB2312" w:cs="仿宋_GB2312"/>
                <w:bCs w:val="0"/>
                <w:color w:val="000000"/>
                <w:kern w:val="2"/>
                <w:sz w:val="24"/>
                <w:szCs w:val="24"/>
                <w:lang w:bidi="ar"/>
              </w:rPr>
              <w:t>如客户提出申请，可提供升级版本介质邮寄服务；</w:t>
            </w:r>
          </w:p>
          <w:p w14:paraId="2D6320F3">
            <w:pPr>
              <w:numPr>
                <w:ilvl w:val="0"/>
                <w:numId w:val="20"/>
              </w:numPr>
              <w:jc w:val="both"/>
              <w:rPr>
                <w:rFonts w:hint="eastAsia" w:ascii="宋体" w:hAnsi="宋体" w:eastAsia="宋体" w:cs="Arial"/>
                <w:bCs/>
                <w:sz w:val="21"/>
                <w:szCs w:val="21"/>
              </w:rPr>
            </w:pPr>
            <w:r>
              <w:rPr>
                <w:rFonts w:hint="eastAsia" w:ascii="仿宋_GB2312" w:hAnsi="Times New Roman" w:eastAsia="仿宋_GB2312" w:cs="仿宋_GB2312"/>
                <w:color w:val="000000"/>
                <w:kern w:val="2"/>
                <w:sz w:val="24"/>
                <w:szCs w:val="24"/>
                <w:lang w:bidi="ar"/>
              </w:rPr>
              <w:t>提供软件小版本升级方案，且限于不间断购买服务的情况；</w:t>
            </w:r>
          </w:p>
        </w:tc>
      </w:tr>
      <w:tr w14:paraId="21DACE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66" w:type="pct"/>
            <w:vMerge w:val="continue"/>
            <w:tcBorders>
              <w:left w:val="single" w:color="000000" w:sz="6" w:space="0"/>
              <w:bottom w:val="single" w:color="000000" w:sz="6" w:space="0"/>
            </w:tcBorders>
            <w:noWrap w:val="0"/>
            <w:vAlign w:val="center"/>
          </w:tcPr>
          <w:p w14:paraId="36186F0A">
            <w:pPr>
              <w:jc w:val="center"/>
              <w:rPr>
                <w:rFonts w:hint="eastAsia" w:ascii="宋体" w:hAnsi="宋体" w:eastAsia="宋体" w:cs="Arial"/>
                <w:sz w:val="21"/>
                <w:szCs w:val="21"/>
              </w:rPr>
            </w:pPr>
          </w:p>
        </w:tc>
        <w:tc>
          <w:tcPr>
            <w:tcW w:w="1229" w:type="pct"/>
            <w:tcBorders>
              <w:top w:val="single" w:color="000000" w:sz="6" w:space="0"/>
              <w:bottom w:val="single" w:color="000000" w:sz="6" w:space="0"/>
            </w:tcBorders>
            <w:noWrap w:val="0"/>
            <w:vAlign w:val="center"/>
          </w:tcPr>
          <w:p w14:paraId="036801F6">
            <w:pPr>
              <w:spacing w:beforeLines="0" w:line="576" w:lineRule="exact"/>
              <w:jc w:val="center"/>
              <w:rPr>
                <w:rFonts w:hint="eastAsia" w:ascii="宋体" w:hAnsi="宋体" w:eastAsia="宋体" w:cs="Arial"/>
                <w:b/>
                <w:bCs/>
                <w:color w:val="000000"/>
                <w:sz w:val="21"/>
                <w:szCs w:val="21"/>
              </w:rPr>
            </w:pPr>
            <w:r>
              <w:rPr>
                <w:rFonts w:hint="eastAsia" w:ascii="仿宋_GB2312" w:hAnsi="Times New Roman" w:eastAsia="仿宋_GB2312" w:cs="仿宋_GB2312"/>
                <w:b/>
                <w:bCs/>
                <w:color w:val="000000"/>
                <w:kern w:val="2"/>
                <w:sz w:val="24"/>
                <w:szCs w:val="24"/>
                <w:lang w:bidi="ar"/>
              </w:rPr>
              <w:t>产品迁移</w:t>
            </w:r>
          </w:p>
        </w:tc>
        <w:tc>
          <w:tcPr>
            <w:tcW w:w="2803" w:type="pct"/>
            <w:tcBorders>
              <w:top w:val="single" w:color="000000" w:sz="6" w:space="0"/>
              <w:bottom w:val="single" w:color="000000" w:sz="6" w:space="0"/>
              <w:right w:val="single" w:color="000000" w:sz="6" w:space="0"/>
            </w:tcBorders>
            <w:noWrap w:val="0"/>
            <w:vAlign w:val="center"/>
          </w:tcPr>
          <w:p w14:paraId="5C6AF5BB">
            <w:pPr>
              <w:numPr>
                <w:ilvl w:val="0"/>
                <w:numId w:val="20"/>
              </w:numPr>
              <w:jc w:val="both"/>
              <w:rPr>
                <w:rFonts w:hint="eastAsia" w:ascii="宋体" w:hAnsi="宋体" w:eastAsia="宋体" w:cs="Arial"/>
                <w:bCs/>
                <w:color w:val="000000"/>
                <w:sz w:val="21"/>
                <w:szCs w:val="21"/>
              </w:rPr>
            </w:pPr>
            <w:r>
              <w:rPr>
                <w:rFonts w:hint="eastAsia" w:ascii="仿宋_GB2312" w:hAnsi="Times New Roman" w:eastAsia="仿宋_GB2312" w:cs="仿宋_GB2312"/>
                <w:bCs w:val="0"/>
                <w:color w:val="000000"/>
                <w:kern w:val="2"/>
                <w:sz w:val="24"/>
                <w:szCs w:val="24"/>
                <w:lang w:bidi="ar"/>
              </w:rPr>
              <w:t>质保期内产品部署环境发生变更的，免费提供一次产品迁移后的永久许可，超出部分或质保期外的产品迁移费用，由双方另行协商；</w:t>
            </w:r>
          </w:p>
        </w:tc>
      </w:tr>
      <w:tr w14:paraId="79BCEF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66" w:type="pct"/>
            <w:tcBorders>
              <w:top w:val="single" w:color="000000" w:sz="6" w:space="0"/>
              <w:left w:val="single" w:color="000000" w:sz="6" w:space="0"/>
              <w:bottom w:val="single" w:color="000000" w:sz="6" w:space="0"/>
            </w:tcBorders>
            <w:noWrap w:val="0"/>
            <w:vAlign w:val="center"/>
          </w:tcPr>
          <w:p w14:paraId="5DEAF342">
            <w:pPr>
              <w:spacing w:beforeLines="0"/>
              <w:jc w:val="center"/>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主动服务</w:t>
            </w:r>
          </w:p>
        </w:tc>
        <w:tc>
          <w:tcPr>
            <w:tcW w:w="1229" w:type="pct"/>
            <w:tcBorders>
              <w:top w:val="single" w:color="000000" w:sz="6" w:space="0"/>
              <w:bottom w:val="single" w:color="000000" w:sz="6" w:space="0"/>
            </w:tcBorders>
            <w:noWrap w:val="0"/>
            <w:vAlign w:val="center"/>
          </w:tcPr>
          <w:p w14:paraId="55E65E2A">
            <w:pPr>
              <w:spacing w:beforeLines="0" w:line="576" w:lineRule="exact"/>
              <w:jc w:val="center"/>
              <w:rPr>
                <w:rFonts w:hint="eastAsia" w:ascii="宋体" w:hAnsi="宋体" w:eastAsia="宋体" w:cs="Arial"/>
                <w:b/>
                <w:bCs/>
                <w:sz w:val="21"/>
                <w:szCs w:val="21"/>
              </w:rPr>
            </w:pPr>
            <w:r>
              <w:rPr>
                <w:rFonts w:hint="eastAsia" w:ascii="仿宋_GB2312" w:hAnsi="Times New Roman" w:eastAsia="仿宋_GB2312" w:cs="仿宋_GB2312"/>
                <w:b/>
                <w:bCs/>
                <w:color w:val="000000"/>
                <w:kern w:val="2"/>
                <w:sz w:val="24"/>
                <w:szCs w:val="24"/>
                <w:lang w:bidi="ar"/>
              </w:rPr>
              <w:t>主动服务</w:t>
            </w:r>
          </w:p>
        </w:tc>
        <w:tc>
          <w:tcPr>
            <w:tcW w:w="2803" w:type="pct"/>
            <w:tcBorders>
              <w:top w:val="single" w:color="000000" w:sz="6" w:space="0"/>
              <w:bottom w:val="single" w:color="000000" w:sz="6" w:space="0"/>
              <w:right w:val="single" w:color="000000" w:sz="6" w:space="0"/>
            </w:tcBorders>
            <w:noWrap w:val="0"/>
            <w:vAlign w:val="center"/>
          </w:tcPr>
          <w:p w14:paraId="402B9701">
            <w:pPr>
              <w:numPr>
                <w:ilvl w:val="0"/>
                <w:numId w:val="20"/>
              </w:numPr>
              <w:jc w:val="both"/>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不定期电话回访，了解客户使用我方产品与服务的情况；</w:t>
            </w:r>
          </w:p>
          <w:p w14:paraId="2DBE6389">
            <w:pPr>
              <w:numPr>
                <w:ilvl w:val="0"/>
                <w:numId w:val="20"/>
              </w:numPr>
              <w:jc w:val="both"/>
              <w:rPr>
                <w:rFonts w:hint="eastAsia" w:ascii="宋体" w:hAnsi="宋体" w:eastAsia="宋体" w:cs="Arial"/>
                <w:sz w:val="21"/>
                <w:szCs w:val="21"/>
              </w:rPr>
            </w:pPr>
            <w:r>
              <w:rPr>
                <w:rFonts w:hint="eastAsia" w:ascii="仿宋_GB2312" w:hAnsi="Times New Roman" w:eastAsia="仿宋_GB2312" w:cs="仿宋_GB2312"/>
                <w:color w:val="000000"/>
                <w:kern w:val="2"/>
                <w:sz w:val="24"/>
                <w:szCs w:val="24"/>
                <w:lang w:bidi="ar"/>
              </w:rPr>
              <w:t>将</w:t>
            </w:r>
            <w:r>
              <w:rPr>
                <w:rFonts w:hint="eastAsia" w:ascii="仿宋_GB2312" w:hAnsi="Times New Roman" w:eastAsia="仿宋_GB2312" w:cs="仿宋_GB2312"/>
                <w:color w:val="000000"/>
                <w:kern w:val="2"/>
                <w:sz w:val="24"/>
                <w:szCs w:val="24"/>
                <w:lang w:val="en-US" w:eastAsia="zh-CN" w:bidi="ar"/>
              </w:rPr>
              <w:t>软件厂商</w:t>
            </w:r>
            <w:r>
              <w:rPr>
                <w:rFonts w:hint="eastAsia" w:ascii="仿宋_GB2312" w:hAnsi="Times New Roman" w:eastAsia="仿宋_GB2312" w:cs="仿宋_GB2312"/>
                <w:color w:val="000000"/>
                <w:kern w:val="2"/>
                <w:sz w:val="24"/>
                <w:szCs w:val="24"/>
                <w:lang w:bidi="ar"/>
              </w:rPr>
              <w:t>服务工程师报告的重要技术问题、问题的解决方案通告客户；</w:t>
            </w:r>
          </w:p>
        </w:tc>
      </w:tr>
    </w:tbl>
    <w:p w14:paraId="75EDE70C">
      <w:pPr>
        <w:pStyle w:val="51"/>
        <w:spacing w:line="576" w:lineRule="exact"/>
        <w:ind w:firstLine="482" w:firstLineChars="200"/>
        <w:rPr>
          <w:rFonts w:hint="eastAsia" w:ascii="仿宋" w:hAnsi="仿宋" w:eastAsia="仿宋" w:cs="仿宋"/>
          <w:b/>
          <w:bCs/>
          <w:sz w:val="24"/>
          <w:szCs w:val="28"/>
          <w:lang w:bidi="ar"/>
        </w:rPr>
      </w:pPr>
      <w:r>
        <w:rPr>
          <w:rFonts w:hint="eastAsia" w:ascii="仿宋" w:hAnsi="仿宋" w:eastAsia="仿宋" w:cs="仿宋"/>
          <w:b/>
          <w:bCs/>
          <w:sz w:val="24"/>
          <w:szCs w:val="28"/>
          <w:lang w:val="en-US" w:eastAsia="zh-CN" w:bidi="ar"/>
        </w:rPr>
        <w:t xml:space="preserve"> 2.运维服务请求响应时间</w:t>
      </w:r>
    </w:p>
    <w:tbl>
      <w:tblPr>
        <w:tblStyle w:val="23"/>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088"/>
        <w:gridCol w:w="6289"/>
      </w:tblGrid>
      <w:tr w14:paraId="36595E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46" w:type="pct"/>
            <w:shd w:val="clear" w:color="auto" w:fill="C0C0C0"/>
            <w:noWrap/>
            <w:vAlign w:val="center"/>
          </w:tcPr>
          <w:p w14:paraId="6DCD7339">
            <w:pPr>
              <w:widowControl/>
              <w:spacing w:beforeLines="0"/>
              <w:jc w:val="center"/>
              <w:textAlignment w:val="auto"/>
              <w:rPr>
                <w:rFonts w:ascii="宋体" w:hAnsi="宋体" w:eastAsia="宋体" w:cs="宋体"/>
                <w:b/>
                <w:bCs/>
                <w:color w:val="000000"/>
                <w:sz w:val="24"/>
                <w:szCs w:val="24"/>
              </w:rPr>
            </w:pPr>
            <w:r>
              <w:rPr>
                <w:rFonts w:hint="eastAsia" w:ascii="仿宋_GB2312" w:hAnsi="Times New Roman" w:eastAsia="仿宋_GB2312" w:cs="仿宋_GB2312"/>
                <w:b/>
                <w:bCs/>
                <w:color w:val="000000"/>
                <w:kern w:val="2"/>
                <w:sz w:val="24"/>
                <w:szCs w:val="24"/>
                <w:lang w:bidi="ar"/>
              </w:rPr>
              <w:t>请求类别</w:t>
            </w:r>
          </w:p>
        </w:tc>
        <w:tc>
          <w:tcPr>
            <w:tcW w:w="3753" w:type="pct"/>
            <w:shd w:val="clear" w:color="auto" w:fill="C0C0C0"/>
            <w:noWrap/>
            <w:vAlign w:val="center"/>
          </w:tcPr>
          <w:p w14:paraId="755652A7">
            <w:pPr>
              <w:widowControl/>
              <w:spacing w:beforeLines="0"/>
              <w:jc w:val="center"/>
              <w:textAlignment w:val="auto"/>
              <w:rPr>
                <w:rFonts w:ascii="宋体" w:hAnsi="宋体" w:eastAsia="宋体" w:cs="宋体"/>
                <w:b/>
                <w:bCs/>
                <w:color w:val="000000"/>
                <w:sz w:val="24"/>
                <w:szCs w:val="24"/>
              </w:rPr>
            </w:pPr>
            <w:r>
              <w:rPr>
                <w:rFonts w:hint="eastAsia" w:ascii="仿宋_GB2312" w:hAnsi="Times New Roman" w:eastAsia="仿宋_GB2312" w:cs="仿宋_GB2312"/>
                <w:b/>
                <w:bCs/>
                <w:color w:val="000000"/>
                <w:kern w:val="2"/>
                <w:sz w:val="24"/>
                <w:szCs w:val="24"/>
                <w:lang w:bidi="ar"/>
              </w:rPr>
              <w:t>响应时间</w:t>
            </w:r>
          </w:p>
        </w:tc>
      </w:tr>
      <w:tr w14:paraId="12DEF4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46" w:type="pct"/>
            <w:noWrap/>
            <w:vAlign w:val="top"/>
          </w:tcPr>
          <w:p w14:paraId="0C6A3EA8">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技术咨询</w:t>
            </w:r>
          </w:p>
        </w:tc>
        <w:tc>
          <w:tcPr>
            <w:tcW w:w="3753" w:type="pct"/>
            <w:noWrap/>
            <w:vAlign w:val="top"/>
          </w:tcPr>
          <w:p w14:paraId="09E98E7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 1 小时</w:t>
            </w:r>
          </w:p>
        </w:tc>
      </w:tr>
      <w:tr w14:paraId="193F0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46" w:type="pct"/>
            <w:noWrap/>
            <w:vAlign w:val="top"/>
          </w:tcPr>
          <w:p w14:paraId="08CEE12F">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其它问题</w:t>
            </w:r>
          </w:p>
        </w:tc>
        <w:tc>
          <w:tcPr>
            <w:tcW w:w="3753" w:type="pct"/>
            <w:noWrap/>
            <w:vAlign w:val="top"/>
          </w:tcPr>
          <w:p w14:paraId="25CC0868">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 2 小时</w:t>
            </w:r>
          </w:p>
        </w:tc>
      </w:tr>
    </w:tbl>
    <w:p w14:paraId="596D3B3F">
      <w:pPr>
        <w:pStyle w:val="51"/>
        <w:spacing w:line="576" w:lineRule="exact"/>
        <w:ind w:firstLine="482" w:firstLineChars="200"/>
        <w:rPr>
          <w:rFonts w:hint="eastAsia" w:ascii="仿宋" w:hAnsi="仿宋" w:eastAsia="仿宋" w:cs="仿宋"/>
          <w:b/>
          <w:bCs/>
          <w:sz w:val="24"/>
          <w:szCs w:val="28"/>
          <w:lang w:val="en-US" w:eastAsia="zh-CN" w:bidi="ar"/>
        </w:rPr>
      </w:pPr>
      <w:r>
        <w:rPr>
          <w:rFonts w:hint="eastAsia" w:ascii="仿宋" w:hAnsi="仿宋" w:eastAsia="仿宋" w:cs="仿宋"/>
          <w:b/>
          <w:bCs/>
          <w:sz w:val="24"/>
          <w:szCs w:val="28"/>
          <w:lang w:val="en-US" w:eastAsia="zh-CN" w:bidi="ar"/>
        </w:rPr>
        <w:t>3.故障处理时间</w:t>
      </w:r>
    </w:p>
    <w:tbl>
      <w:tblPr>
        <w:tblStyle w:val="23"/>
        <w:tblpPr w:leftFromText="180" w:rightFromText="180" w:vertAnchor="text" w:horzAnchor="page" w:tblpX="1863" w:tblpY="34"/>
        <w:tblOverlap w:val="never"/>
        <w:tblW w:w="5000" w:type="pct"/>
        <w:tblInd w:w="0" w:type="dxa"/>
        <w:tblLayout w:type="autofit"/>
        <w:tblCellMar>
          <w:top w:w="0" w:type="dxa"/>
          <w:left w:w="108" w:type="dxa"/>
          <w:bottom w:w="0" w:type="dxa"/>
          <w:right w:w="108" w:type="dxa"/>
        </w:tblCellMar>
      </w:tblPr>
      <w:tblGrid>
        <w:gridCol w:w="816"/>
        <w:gridCol w:w="1881"/>
        <w:gridCol w:w="597"/>
        <w:gridCol w:w="597"/>
        <w:gridCol w:w="1416"/>
        <w:gridCol w:w="1536"/>
        <w:gridCol w:w="1536"/>
      </w:tblGrid>
      <w:tr w14:paraId="17730F43">
        <w:tblPrEx>
          <w:tblCellMar>
            <w:top w:w="0" w:type="dxa"/>
            <w:left w:w="108" w:type="dxa"/>
            <w:bottom w:w="0" w:type="dxa"/>
            <w:right w:w="108" w:type="dxa"/>
          </w:tblCellMar>
        </w:tblPrEx>
        <w:trPr>
          <w:trHeight w:val="360" w:hRule="atLeast"/>
        </w:trPr>
        <w:tc>
          <w:tcPr>
            <w:tcW w:w="427"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EE554AD">
            <w:pPr>
              <w:widowControl/>
              <w:spacing w:beforeLines="0"/>
              <w:jc w:val="center"/>
              <w:textAlignment w:val="auto"/>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故障级别</w:t>
            </w:r>
          </w:p>
        </w:tc>
        <w:tc>
          <w:tcPr>
            <w:tcW w:w="1268"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FD960A0">
            <w:pPr>
              <w:widowControl/>
              <w:spacing w:beforeLines="0"/>
              <w:jc w:val="center"/>
              <w:textAlignment w:val="auto"/>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故障定义</w:t>
            </w:r>
          </w:p>
        </w:tc>
        <w:tc>
          <w:tcPr>
            <w:tcW w:w="502"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1DEC26A1">
            <w:pPr>
              <w:widowControl/>
              <w:spacing w:beforeLines="0"/>
              <w:jc w:val="center"/>
              <w:textAlignment w:val="auto"/>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故障响应</w:t>
            </w:r>
          </w:p>
        </w:tc>
        <w:tc>
          <w:tcPr>
            <w:tcW w:w="502"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6CA2BE1">
            <w:pPr>
              <w:widowControl/>
              <w:spacing w:beforeLines="0"/>
              <w:jc w:val="center"/>
              <w:textAlignment w:val="auto"/>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故障受理</w:t>
            </w:r>
          </w:p>
        </w:tc>
        <w:tc>
          <w:tcPr>
            <w:tcW w:w="725"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61351FAB">
            <w:pPr>
              <w:widowControl/>
              <w:spacing w:beforeLines="0"/>
              <w:jc w:val="center"/>
              <w:textAlignment w:val="auto"/>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业务恢复</w:t>
            </w:r>
          </w:p>
        </w:tc>
        <w:tc>
          <w:tcPr>
            <w:tcW w:w="785"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21A28CC8">
            <w:pPr>
              <w:widowControl/>
              <w:spacing w:beforeLines="0"/>
              <w:jc w:val="center"/>
              <w:textAlignment w:val="auto"/>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故障解决</w:t>
            </w:r>
          </w:p>
        </w:tc>
        <w:tc>
          <w:tcPr>
            <w:tcW w:w="788"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14:paraId="08379363">
            <w:pPr>
              <w:widowControl/>
              <w:spacing w:beforeLines="0"/>
              <w:jc w:val="center"/>
              <w:textAlignment w:val="auto"/>
              <w:rPr>
                <w:rFonts w:hint="eastAsia" w:ascii="仿宋_GB2312" w:hAnsi="Times New Roman" w:eastAsia="仿宋_GB2312" w:cs="仿宋_GB2312"/>
                <w:b/>
                <w:bCs/>
                <w:color w:val="000000"/>
                <w:kern w:val="2"/>
                <w:sz w:val="24"/>
                <w:szCs w:val="24"/>
                <w:lang w:bidi="ar"/>
              </w:rPr>
            </w:pPr>
            <w:r>
              <w:rPr>
                <w:rFonts w:hint="eastAsia" w:ascii="仿宋_GB2312" w:hAnsi="Times New Roman" w:eastAsia="仿宋_GB2312" w:cs="仿宋_GB2312"/>
                <w:b/>
                <w:bCs/>
                <w:color w:val="000000"/>
                <w:kern w:val="2"/>
                <w:sz w:val="24"/>
                <w:szCs w:val="24"/>
                <w:lang w:bidi="ar"/>
              </w:rPr>
              <w:t>故障关闭</w:t>
            </w:r>
          </w:p>
        </w:tc>
      </w:tr>
      <w:tr w14:paraId="44E704F3">
        <w:tblPrEx>
          <w:tblCellMar>
            <w:top w:w="0" w:type="dxa"/>
            <w:left w:w="108" w:type="dxa"/>
            <w:bottom w:w="0" w:type="dxa"/>
            <w:right w:w="108" w:type="dxa"/>
          </w:tblCellMar>
        </w:tblPrEx>
        <w:trPr>
          <w:trHeight w:val="855" w:hRule="atLeast"/>
        </w:trPr>
        <w:tc>
          <w:tcPr>
            <w:tcW w:w="427" w:type="pct"/>
            <w:tcBorders>
              <w:top w:val="single" w:color="000000" w:sz="4" w:space="0"/>
              <w:left w:val="single" w:color="000000" w:sz="4" w:space="0"/>
              <w:bottom w:val="single" w:color="000000" w:sz="4" w:space="0"/>
              <w:right w:val="single" w:color="000000" w:sz="4" w:space="0"/>
            </w:tcBorders>
            <w:noWrap w:val="0"/>
            <w:vAlign w:val="center"/>
          </w:tcPr>
          <w:p w14:paraId="30D77F89">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特大故障</w:t>
            </w:r>
            <w:r>
              <w:rPr>
                <w:rFonts w:hint="eastAsia" w:ascii="仿宋_GB2312" w:hAnsi="Times New Roman" w:eastAsia="仿宋_GB2312" w:cs="仿宋_GB2312"/>
                <w:color w:val="000000"/>
                <w:kern w:val="2"/>
                <w:sz w:val="24"/>
                <w:szCs w:val="24"/>
                <w:lang w:bidi="ar"/>
              </w:rPr>
              <w:br w:type="textWrapping"/>
            </w:r>
            <w:r>
              <w:rPr>
                <w:rFonts w:hint="eastAsia" w:ascii="仿宋_GB2312" w:hAnsi="Times New Roman" w:eastAsia="仿宋_GB2312" w:cs="仿宋_GB2312"/>
                <w:color w:val="000000"/>
                <w:kern w:val="2"/>
                <w:sz w:val="24"/>
                <w:szCs w:val="24"/>
                <w:lang w:bidi="ar"/>
              </w:rPr>
              <w:t>（I 级）</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148A2F7E">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1、故障发生后判定条件：</w:t>
            </w:r>
          </w:p>
          <w:p w14:paraId="1D9A03FE">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（1）因任何原因导致本系统或其它相关联系统整体功能或核心业务功能阻断，影响50%以上活跃用户，严重影响业务</w:t>
            </w:r>
          </w:p>
          <w:p w14:paraId="199015D7">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（2）因任何原因导致两个及以上系统重要业务功能阻断，影响50%以上活跃用户，严重影响业务</w:t>
            </w:r>
          </w:p>
          <w:p w14:paraId="21EE78BB">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2、故障恢复后判定条件：</w:t>
            </w:r>
          </w:p>
          <w:p w14:paraId="04B04E18">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满足以上条件且故障超过1小时，否则判定为重大故障</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DA29C2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小于5分钟</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3136159">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小于10分钟</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081D645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小于1小时</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1AF1665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小于24小时</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0D380F13">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小于48小时</w:t>
            </w:r>
          </w:p>
        </w:tc>
      </w:tr>
      <w:tr w14:paraId="640E9C18">
        <w:tblPrEx>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noWrap w:val="0"/>
            <w:vAlign w:val="center"/>
          </w:tcPr>
          <w:p w14:paraId="40AA0822">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重大故障</w:t>
            </w:r>
            <w:r>
              <w:rPr>
                <w:rFonts w:hint="eastAsia" w:ascii="仿宋_GB2312" w:hAnsi="Times New Roman" w:eastAsia="仿宋_GB2312" w:cs="仿宋_GB2312"/>
                <w:color w:val="000000"/>
                <w:kern w:val="2"/>
                <w:sz w:val="24"/>
                <w:szCs w:val="24"/>
                <w:lang w:bidi="ar"/>
              </w:rPr>
              <w:br w:type="textWrapping"/>
            </w:r>
            <w:r>
              <w:rPr>
                <w:rFonts w:hint="eastAsia" w:ascii="仿宋_GB2312" w:hAnsi="Times New Roman" w:eastAsia="仿宋_GB2312" w:cs="仿宋_GB2312"/>
                <w:color w:val="000000"/>
                <w:kern w:val="2"/>
                <w:sz w:val="24"/>
                <w:szCs w:val="24"/>
                <w:lang w:bidi="ar"/>
              </w:rPr>
              <w:t>（II 级）</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7C107009">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1、故障发生后判定条件：</w:t>
            </w:r>
          </w:p>
          <w:p w14:paraId="2902A612">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因任何原因导致本系统或其它相关联系统重要业务功能阻断，影响10%以上活跃用户，影响业务较严重</w:t>
            </w:r>
          </w:p>
          <w:p w14:paraId="2FF8F88A">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2、故障恢复后判定条件：</w:t>
            </w:r>
          </w:p>
          <w:p w14:paraId="5181D6D1">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满足以上条件且故障超过0.5小时，否则判定为较大故障</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37B694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小于10分钟</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1123C056">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小于15分钟</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6A94EA2E">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小于2小时</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7B527F60">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小于24小时</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5274CBC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小于48小时</w:t>
            </w:r>
          </w:p>
        </w:tc>
      </w:tr>
      <w:tr w14:paraId="162FF750">
        <w:tblPrEx>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noWrap w:val="0"/>
            <w:vAlign w:val="center"/>
          </w:tcPr>
          <w:p w14:paraId="796AB02F">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较大故障</w:t>
            </w:r>
            <w:r>
              <w:rPr>
                <w:rFonts w:hint="eastAsia" w:ascii="仿宋_GB2312" w:hAnsi="Times New Roman" w:eastAsia="仿宋_GB2312" w:cs="仿宋_GB2312"/>
                <w:color w:val="000000"/>
                <w:kern w:val="2"/>
                <w:sz w:val="24"/>
                <w:szCs w:val="24"/>
                <w:lang w:bidi="ar"/>
              </w:rPr>
              <w:br w:type="textWrapping"/>
            </w:r>
            <w:r>
              <w:rPr>
                <w:rFonts w:hint="eastAsia" w:ascii="仿宋_GB2312" w:hAnsi="Times New Roman" w:eastAsia="仿宋_GB2312" w:cs="仿宋_GB2312"/>
                <w:color w:val="000000"/>
                <w:kern w:val="2"/>
                <w:sz w:val="24"/>
                <w:szCs w:val="24"/>
                <w:lang w:bidi="ar"/>
              </w:rPr>
              <w:t>（III 级）</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24EC2863">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因任何原因导致本系统或其它相关联系统非核心重要业务功能阻断，影响部分或局部非主要业务</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0EA61A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小于20分钟</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C755AD1">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小于20分钟</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2ADFF0A4">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小于4小时</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73C3E993">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小于48小时</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25217311">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小于72小时</w:t>
            </w:r>
          </w:p>
        </w:tc>
      </w:tr>
      <w:tr w14:paraId="5B0FDF21">
        <w:tblPrEx>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noWrap w:val="0"/>
            <w:vAlign w:val="center"/>
          </w:tcPr>
          <w:p w14:paraId="751FCD42">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一般故障</w:t>
            </w:r>
            <w:r>
              <w:rPr>
                <w:rFonts w:hint="eastAsia" w:ascii="仿宋_GB2312" w:hAnsi="Times New Roman" w:eastAsia="仿宋_GB2312" w:cs="仿宋_GB2312"/>
                <w:color w:val="000000"/>
                <w:kern w:val="2"/>
                <w:sz w:val="24"/>
                <w:szCs w:val="24"/>
                <w:lang w:bidi="ar"/>
              </w:rPr>
              <w:br w:type="textWrapping"/>
            </w:r>
            <w:r>
              <w:rPr>
                <w:rFonts w:hint="eastAsia" w:ascii="仿宋_GB2312" w:hAnsi="Times New Roman" w:eastAsia="仿宋_GB2312" w:cs="仿宋_GB2312"/>
                <w:color w:val="000000"/>
                <w:kern w:val="2"/>
                <w:sz w:val="24"/>
                <w:szCs w:val="24"/>
                <w:lang w:bidi="ar"/>
              </w:rPr>
              <w:t>（IV级）</w:t>
            </w:r>
          </w:p>
        </w:tc>
        <w:tc>
          <w:tcPr>
            <w:tcW w:w="1268" w:type="pct"/>
            <w:tcBorders>
              <w:top w:val="single" w:color="000000" w:sz="4" w:space="0"/>
              <w:left w:val="single" w:color="000000" w:sz="4" w:space="0"/>
              <w:bottom w:val="single" w:color="000000" w:sz="4" w:space="0"/>
              <w:right w:val="single" w:color="000000" w:sz="4" w:space="0"/>
            </w:tcBorders>
            <w:noWrap w:val="0"/>
            <w:vAlign w:val="center"/>
          </w:tcPr>
          <w:p w14:paraId="035FCB53">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除一、二、三级故障外的其他故障，对业务无影响、或造成业务轻微影响、或用户无感知。</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459D007">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小于30分钟</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51337E61">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小于1小时</w:t>
            </w:r>
          </w:p>
        </w:tc>
        <w:tc>
          <w:tcPr>
            <w:tcW w:w="725" w:type="pct"/>
            <w:tcBorders>
              <w:top w:val="single" w:color="000000" w:sz="4" w:space="0"/>
              <w:left w:val="single" w:color="000000" w:sz="4" w:space="0"/>
              <w:bottom w:val="single" w:color="000000" w:sz="4" w:space="0"/>
              <w:right w:val="single" w:color="000000" w:sz="4" w:space="0"/>
            </w:tcBorders>
            <w:noWrap/>
            <w:vAlign w:val="center"/>
          </w:tcPr>
          <w:p w14:paraId="5B85F7C4">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小于8小时</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3C533DD8">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小于72小时</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C7C07C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小于96小时</w:t>
            </w:r>
          </w:p>
        </w:tc>
      </w:tr>
      <w:tr w14:paraId="0EA34B3A">
        <w:tblPrEx>
          <w:tblCellMar>
            <w:top w:w="0" w:type="dxa"/>
            <w:left w:w="108" w:type="dxa"/>
            <w:bottom w:w="0" w:type="dxa"/>
            <w:right w:w="108" w:type="dxa"/>
          </w:tblCellMar>
        </w:tblPrEx>
        <w:trPr>
          <w:trHeight w:val="57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6197EBFB">
            <w:pPr>
              <w:spacing w:beforeLines="0" w:line="240" w:lineRule="auto"/>
              <w:ind w:firstLine="0" w:firstLineChars="0"/>
              <w:jc w:val="both"/>
              <w:rPr>
                <w:rFonts w:hint="eastAsia" w:ascii="仿宋_GB2312" w:hAnsi="Times New Roman" w:eastAsia="仿宋_GB2312" w:cs="仿宋_GB2312"/>
                <w:bCs w:val="0"/>
                <w:color w:val="000000"/>
                <w:kern w:val="2"/>
                <w:sz w:val="24"/>
                <w:szCs w:val="24"/>
                <w:lang w:bidi="ar"/>
              </w:rPr>
            </w:pPr>
            <w:r>
              <w:rPr>
                <w:rFonts w:hint="eastAsia" w:ascii="仿宋_GB2312" w:hAnsi="Times New Roman" w:eastAsia="仿宋_GB2312" w:cs="仿宋_GB2312"/>
                <w:bCs w:val="0"/>
                <w:color w:val="000000"/>
                <w:kern w:val="2"/>
                <w:sz w:val="24"/>
                <w:szCs w:val="24"/>
                <w:lang w:bidi="ar"/>
              </w:rPr>
              <w:t>注：  故障响应时间自通知乙方时起算；</w:t>
            </w:r>
          </w:p>
          <w:p w14:paraId="0240C8E2">
            <w:pPr>
              <w:spacing w:beforeLines="0" w:line="240" w:lineRule="auto"/>
              <w:ind w:firstLine="720" w:firstLineChars="300"/>
              <w:jc w:val="both"/>
              <w:rPr>
                <w:rFonts w:hint="eastAsia" w:ascii="仿宋_GB2312" w:hAnsi="Times New Roman" w:eastAsia="仿宋_GB2312" w:cs="仿宋_GB2312"/>
                <w:bCs w:val="0"/>
                <w:color w:val="000000"/>
                <w:kern w:val="2"/>
                <w:sz w:val="24"/>
                <w:szCs w:val="24"/>
                <w:lang w:bidi="ar"/>
              </w:rPr>
            </w:pPr>
            <w:r>
              <w:rPr>
                <w:rFonts w:hint="eastAsia" w:ascii="仿宋_GB2312" w:hAnsi="Times New Roman" w:eastAsia="仿宋_GB2312" w:cs="仿宋_GB2312"/>
                <w:bCs w:val="0"/>
                <w:color w:val="000000"/>
                <w:kern w:val="2"/>
                <w:sz w:val="24"/>
                <w:szCs w:val="24"/>
                <w:lang w:bidi="ar"/>
              </w:rPr>
              <w:t>故障受理时间自故障响应后起算；</w:t>
            </w:r>
          </w:p>
          <w:p w14:paraId="4EF414D9">
            <w:pPr>
              <w:spacing w:beforeLines="0" w:line="240" w:lineRule="auto"/>
              <w:ind w:firstLine="720" w:firstLineChars="300"/>
              <w:jc w:val="both"/>
              <w:rPr>
                <w:rFonts w:hint="eastAsia" w:ascii="宋体" w:hAnsi="宋体" w:eastAsia="宋体" w:cs="宋体"/>
                <w:color w:val="000000"/>
                <w:kern w:val="0"/>
                <w:sz w:val="20"/>
                <w:lang w:bidi="ar"/>
              </w:rPr>
            </w:pPr>
            <w:r>
              <w:rPr>
                <w:rFonts w:hint="eastAsia" w:ascii="仿宋_GB2312" w:hAnsi="Times New Roman" w:eastAsia="仿宋_GB2312" w:cs="仿宋_GB2312"/>
                <w:bCs w:val="0"/>
                <w:color w:val="000000"/>
                <w:kern w:val="2"/>
                <w:sz w:val="24"/>
                <w:szCs w:val="24"/>
                <w:lang w:bidi="ar"/>
              </w:rPr>
              <w:t>业务恢复时间、故障解决时间、故障关闭时间自故障受理后起算。</w:t>
            </w:r>
          </w:p>
        </w:tc>
      </w:tr>
    </w:tbl>
    <w:p w14:paraId="73C13F8F">
      <w:pPr>
        <w:pStyle w:val="51"/>
        <w:numPr>
          <w:ilvl w:val="0"/>
          <w:numId w:val="0"/>
        </w:numPr>
        <w:ind w:left="240" w:leftChars="0"/>
        <w:rPr>
          <w:rFonts w:hint="default" w:ascii="宋体" w:hAnsi="宋体" w:eastAsia="宋体" w:cs="宋体"/>
          <w:sz w:val="24"/>
          <w:szCs w:val="24"/>
          <w:lang w:val="en-US" w:eastAsia="zh-CN"/>
        </w:rPr>
      </w:pPr>
    </w:p>
    <w:p w14:paraId="7E88FD9E">
      <w:pPr>
        <w:pStyle w:val="51"/>
        <w:rPr>
          <w:rFonts w:hint="default" w:ascii="仿宋" w:hAnsi="仿宋" w:eastAsia="仿宋" w:cs="仿宋"/>
          <w:b/>
          <w:bCs/>
          <w:sz w:val="24"/>
          <w:szCs w:val="28"/>
          <w:lang w:val="en-US" w:eastAsia="zh-CN"/>
        </w:rPr>
      </w:pPr>
    </w:p>
    <w:p w14:paraId="5D9FD738">
      <w:pPr>
        <w:widowControl/>
        <w:spacing w:line="360" w:lineRule="auto"/>
        <w:rPr>
          <w:rFonts w:hint="eastAsia" w:ascii="仿宋" w:hAnsi="仿宋" w:eastAsia="仿宋" w:cs="仿宋"/>
          <w:b/>
          <w:sz w:val="24"/>
          <w:szCs w:val="24"/>
          <w:lang w:val="zh-CN" w:bidi="ar"/>
        </w:rPr>
      </w:pPr>
    </w:p>
    <w:p w14:paraId="4AE6D0C4">
      <w:pPr>
        <w:widowControl/>
        <w:spacing w:line="360" w:lineRule="auto"/>
        <w:rPr>
          <w:rFonts w:hint="eastAsia" w:ascii="仿宋" w:hAnsi="仿宋" w:eastAsia="仿宋" w:cs="仿宋"/>
          <w:b/>
          <w:sz w:val="24"/>
          <w:szCs w:val="24"/>
          <w:lang w:val="zh-CN" w:bidi="ar"/>
        </w:rPr>
      </w:pPr>
    </w:p>
    <w:p w14:paraId="42D118BF">
      <w:pPr>
        <w:widowControl/>
        <w:spacing w:line="360" w:lineRule="auto"/>
        <w:rPr>
          <w:rFonts w:hint="eastAsia" w:ascii="仿宋" w:hAnsi="仿宋" w:eastAsia="仿宋" w:cs="仿宋"/>
          <w:b/>
          <w:sz w:val="24"/>
          <w:szCs w:val="24"/>
          <w:lang w:val="zh-CN" w:bidi="ar"/>
        </w:rPr>
      </w:pPr>
    </w:p>
    <w:p w14:paraId="65805836">
      <w:pPr>
        <w:widowControl/>
        <w:spacing w:line="360" w:lineRule="auto"/>
        <w:rPr>
          <w:rFonts w:hint="eastAsia" w:ascii="仿宋" w:hAnsi="仿宋" w:eastAsia="仿宋" w:cs="仿宋"/>
          <w:b/>
          <w:sz w:val="24"/>
          <w:szCs w:val="24"/>
          <w:lang w:val="zh-CN" w:bidi="ar"/>
        </w:rPr>
      </w:pPr>
    </w:p>
    <w:p w14:paraId="65FC1735">
      <w:pPr>
        <w:widowControl/>
        <w:spacing w:line="360" w:lineRule="auto"/>
        <w:rPr>
          <w:rFonts w:hint="eastAsia" w:ascii="仿宋" w:hAnsi="仿宋" w:eastAsia="仿宋" w:cs="仿宋"/>
          <w:b/>
          <w:sz w:val="24"/>
          <w:szCs w:val="24"/>
          <w:lang w:val="zh-CN" w:bidi="ar"/>
        </w:rPr>
      </w:pPr>
    </w:p>
    <w:p w14:paraId="3F121931">
      <w:pPr>
        <w:widowControl/>
        <w:spacing w:line="360" w:lineRule="auto"/>
        <w:rPr>
          <w:rFonts w:hint="eastAsia" w:ascii="仿宋" w:hAnsi="仿宋" w:eastAsia="仿宋" w:cs="仿宋"/>
          <w:b/>
          <w:sz w:val="24"/>
          <w:szCs w:val="24"/>
          <w:lang w:val="zh-CN" w:bidi="ar"/>
        </w:rPr>
      </w:pPr>
    </w:p>
    <w:p w14:paraId="362AD90A">
      <w:pPr>
        <w:widowControl/>
        <w:spacing w:line="360" w:lineRule="auto"/>
        <w:rPr>
          <w:rFonts w:hint="eastAsia" w:ascii="仿宋" w:hAnsi="仿宋" w:eastAsia="仿宋" w:cs="仿宋"/>
          <w:b/>
          <w:sz w:val="24"/>
          <w:szCs w:val="24"/>
          <w:lang w:val="zh-CN" w:bidi="ar"/>
        </w:rPr>
      </w:pPr>
    </w:p>
    <w:p w14:paraId="2C0E10A5">
      <w:pPr>
        <w:widowControl/>
        <w:spacing w:line="360" w:lineRule="auto"/>
        <w:rPr>
          <w:rFonts w:hint="eastAsia" w:ascii="仿宋" w:hAnsi="仿宋" w:eastAsia="仿宋" w:cs="仿宋"/>
          <w:b/>
          <w:sz w:val="24"/>
          <w:szCs w:val="24"/>
          <w:lang w:val="zh-CN" w:bidi="ar"/>
        </w:rPr>
      </w:pPr>
    </w:p>
    <w:p w14:paraId="19225A2E">
      <w:pPr>
        <w:widowControl/>
        <w:spacing w:line="360" w:lineRule="auto"/>
        <w:rPr>
          <w:rFonts w:hint="eastAsia" w:ascii="仿宋" w:hAnsi="仿宋" w:eastAsia="仿宋" w:cs="仿宋"/>
          <w:b/>
          <w:sz w:val="24"/>
          <w:szCs w:val="24"/>
          <w:lang w:val="zh-CN" w:bidi="ar"/>
        </w:rPr>
      </w:pPr>
    </w:p>
    <w:p w14:paraId="1E8C32FA">
      <w:pPr>
        <w:widowControl/>
        <w:spacing w:line="360" w:lineRule="auto"/>
        <w:rPr>
          <w:rFonts w:hint="eastAsia" w:ascii="仿宋" w:hAnsi="仿宋" w:eastAsia="仿宋" w:cs="仿宋"/>
          <w:b/>
          <w:sz w:val="24"/>
          <w:szCs w:val="24"/>
          <w:lang w:val="zh-CN" w:bidi="ar"/>
        </w:rPr>
      </w:pPr>
    </w:p>
    <w:p w14:paraId="417A762E">
      <w:pPr>
        <w:widowControl/>
        <w:spacing w:line="360" w:lineRule="auto"/>
        <w:rPr>
          <w:rFonts w:hint="eastAsia" w:ascii="仿宋" w:hAnsi="仿宋" w:eastAsia="仿宋" w:cs="仿宋"/>
          <w:b/>
          <w:sz w:val="24"/>
          <w:szCs w:val="24"/>
          <w:lang w:val="zh-CN" w:bidi="ar"/>
        </w:rPr>
      </w:pPr>
    </w:p>
    <w:p w14:paraId="266BB699">
      <w:pPr>
        <w:widowControl/>
        <w:spacing w:line="360" w:lineRule="auto"/>
        <w:rPr>
          <w:rFonts w:hint="eastAsia" w:ascii="仿宋" w:hAnsi="仿宋" w:eastAsia="仿宋" w:cs="仿宋"/>
          <w:b/>
          <w:sz w:val="24"/>
          <w:szCs w:val="24"/>
          <w:lang w:val="zh-CN" w:bidi="ar"/>
        </w:rPr>
      </w:pPr>
    </w:p>
    <w:p w14:paraId="75E00994">
      <w:pPr>
        <w:widowControl/>
        <w:spacing w:line="360" w:lineRule="auto"/>
        <w:rPr>
          <w:rFonts w:ascii="仿宋" w:hAnsi="仿宋" w:eastAsia="仿宋" w:cs="仿宋"/>
          <w:b/>
          <w:sz w:val="24"/>
          <w:szCs w:val="24"/>
          <w:lang w:bidi="ar"/>
        </w:rPr>
      </w:pPr>
      <w:r>
        <w:rPr>
          <w:rFonts w:hint="eastAsia" w:ascii="仿宋" w:hAnsi="仿宋" w:eastAsia="仿宋" w:cs="仿宋"/>
          <w:b/>
          <w:sz w:val="24"/>
          <w:szCs w:val="24"/>
          <w:lang w:val="zh-CN" w:bidi="ar"/>
        </w:rPr>
        <w:t>附件</w:t>
      </w:r>
      <w:r>
        <w:rPr>
          <w:rFonts w:hint="eastAsia" w:ascii="仿宋" w:hAnsi="仿宋" w:eastAsia="仿宋" w:cs="仿宋"/>
          <w:b/>
          <w:sz w:val="24"/>
          <w:szCs w:val="24"/>
          <w:lang w:bidi="ar"/>
        </w:rPr>
        <w:t>三：项目人员信息表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83"/>
        <w:gridCol w:w="1003"/>
        <w:gridCol w:w="664"/>
        <w:gridCol w:w="654"/>
        <w:gridCol w:w="1742"/>
        <w:gridCol w:w="3444"/>
      </w:tblGrid>
      <w:tr w14:paraId="5DBB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rPr>
        <w:tc>
          <w:tcPr>
            <w:tcW w:w="417" w:type="pct"/>
            <w:noWrap w:val="0"/>
            <w:vAlign w:val="center"/>
          </w:tcPr>
          <w:p w14:paraId="3ED65775">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序号</w:t>
            </w:r>
          </w:p>
        </w:tc>
        <w:tc>
          <w:tcPr>
            <w:tcW w:w="612" w:type="pct"/>
            <w:noWrap w:val="0"/>
            <w:vAlign w:val="center"/>
          </w:tcPr>
          <w:p w14:paraId="61C0076D">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姓名</w:t>
            </w:r>
          </w:p>
        </w:tc>
        <w:tc>
          <w:tcPr>
            <w:tcW w:w="405" w:type="pct"/>
            <w:noWrap w:val="0"/>
            <w:vAlign w:val="center"/>
          </w:tcPr>
          <w:p w14:paraId="3D297063">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性别</w:t>
            </w:r>
          </w:p>
        </w:tc>
        <w:tc>
          <w:tcPr>
            <w:tcW w:w="399" w:type="pct"/>
            <w:noWrap w:val="0"/>
            <w:vAlign w:val="center"/>
          </w:tcPr>
          <w:p w14:paraId="0DA56A4A">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工龄</w:t>
            </w:r>
          </w:p>
        </w:tc>
        <w:tc>
          <w:tcPr>
            <w:tcW w:w="1063" w:type="pct"/>
            <w:noWrap w:val="0"/>
            <w:vAlign w:val="center"/>
          </w:tcPr>
          <w:p w14:paraId="253E8E59">
            <w:pPr>
              <w:widowControl/>
              <w:spacing w:beforeLines="0"/>
              <w:jc w:val="center"/>
              <w:textAlignment w:val="auto"/>
              <w:rPr>
                <w:rFonts w:hint="eastAsia" w:ascii="仿宋_GB2312" w:hAnsi="Times New Roman" w:eastAsia="仿宋_GB2312" w:cs="仿宋_GB2312"/>
                <w:color w:val="000000"/>
                <w:kern w:val="2"/>
                <w:sz w:val="24"/>
                <w:szCs w:val="24"/>
                <w:lang w:bidi="ar"/>
              </w:rPr>
            </w:pPr>
            <w:r>
              <w:rPr>
                <w:rFonts w:hint="eastAsia" w:ascii="仿宋_GB2312" w:hAnsi="Times New Roman" w:eastAsia="仿宋_GB2312" w:cs="仿宋_GB2312"/>
                <w:color w:val="000000"/>
                <w:kern w:val="2"/>
                <w:sz w:val="24"/>
                <w:szCs w:val="24"/>
                <w:lang w:bidi="ar"/>
              </w:rPr>
              <w:t>职称</w:t>
            </w:r>
          </w:p>
        </w:tc>
        <w:tc>
          <w:tcPr>
            <w:tcW w:w="2101" w:type="pct"/>
            <w:noWrap w:val="0"/>
            <w:vAlign w:val="center"/>
          </w:tcPr>
          <w:p w14:paraId="7E80DE95">
            <w:pPr>
              <w:widowControl/>
              <w:spacing w:beforeLines="0"/>
              <w:jc w:val="center"/>
              <w:textAlignment w:val="auto"/>
              <w:rPr>
                <w:rFonts w:hint="eastAsia" w:ascii="仿宋_GB2312" w:hAnsi="Times New Roman" w:eastAsia="仿宋_GB2312" w:cs="仿宋_GB2312"/>
                <w:color w:val="000000"/>
                <w:kern w:val="2"/>
                <w:sz w:val="24"/>
                <w:szCs w:val="24"/>
                <w:lang w:val="en-US" w:eastAsia="zh-CN" w:bidi="ar"/>
              </w:rPr>
            </w:pPr>
            <w:r>
              <w:rPr>
                <w:rFonts w:hint="eastAsia" w:ascii="仿宋_GB2312" w:hAnsi="Times New Roman" w:eastAsia="仿宋_GB2312" w:cs="仿宋_GB2312"/>
                <w:color w:val="000000"/>
                <w:kern w:val="2"/>
                <w:sz w:val="24"/>
                <w:szCs w:val="24"/>
                <w:lang w:val="en-US" w:eastAsia="zh-CN" w:bidi="ar"/>
              </w:rPr>
              <w:t>负责工作</w:t>
            </w:r>
          </w:p>
        </w:tc>
      </w:tr>
      <w:tr w14:paraId="0E20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1" w:hRule="atLeast"/>
        </w:trPr>
        <w:tc>
          <w:tcPr>
            <w:tcW w:w="417" w:type="pct"/>
            <w:noWrap w:val="0"/>
            <w:vAlign w:val="center"/>
          </w:tcPr>
          <w:p w14:paraId="439E60C6">
            <w:pPr>
              <w:spacing w:line="360" w:lineRule="auto"/>
              <w:jc w:val="center"/>
              <w:rPr>
                <w:rFonts w:ascii="仿宋" w:hAnsi="仿宋" w:eastAsia="仿宋" w:cs="仿宋"/>
                <w:color w:val="000000"/>
                <w:sz w:val="20"/>
                <w:lang w:bidi="ar"/>
              </w:rPr>
            </w:pPr>
          </w:p>
        </w:tc>
        <w:tc>
          <w:tcPr>
            <w:tcW w:w="612" w:type="pct"/>
            <w:noWrap w:val="0"/>
            <w:vAlign w:val="center"/>
          </w:tcPr>
          <w:p w14:paraId="4C779BC8">
            <w:pPr>
              <w:spacing w:line="360" w:lineRule="auto"/>
              <w:jc w:val="center"/>
              <w:rPr>
                <w:rFonts w:ascii="仿宋" w:hAnsi="仿宋" w:eastAsia="仿宋" w:cs="仿宋"/>
                <w:color w:val="000000"/>
                <w:sz w:val="20"/>
                <w:lang w:bidi="ar"/>
              </w:rPr>
            </w:pPr>
          </w:p>
        </w:tc>
        <w:tc>
          <w:tcPr>
            <w:tcW w:w="405" w:type="pct"/>
            <w:noWrap w:val="0"/>
            <w:vAlign w:val="center"/>
          </w:tcPr>
          <w:p w14:paraId="7F59BD93">
            <w:pPr>
              <w:spacing w:line="360" w:lineRule="auto"/>
              <w:jc w:val="center"/>
              <w:rPr>
                <w:rFonts w:ascii="仿宋" w:hAnsi="仿宋" w:eastAsia="仿宋" w:cs="仿宋"/>
                <w:color w:val="000000"/>
                <w:sz w:val="20"/>
                <w:lang w:bidi="ar"/>
              </w:rPr>
            </w:pPr>
          </w:p>
        </w:tc>
        <w:tc>
          <w:tcPr>
            <w:tcW w:w="399" w:type="pct"/>
            <w:noWrap w:val="0"/>
            <w:vAlign w:val="center"/>
          </w:tcPr>
          <w:p w14:paraId="20B253E0">
            <w:pPr>
              <w:spacing w:line="360" w:lineRule="auto"/>
              <w:jc w:val="center"/>
              <w:rPr>
                <w:rFonts w:ascii="仿宋" w:hAnsi="仿宋" w:eastAsia="仿宋" w:cs="仿宋"/>
                <w:color w:val="000000"/>
                <w:sz w:val="20"/>
                <w:lang w:bidi="ar"/>
              </w:rPr>
            </w:pPr>
          </w:p>
        </w:tc>
        <w:tc>
          <w:tcPr>
            <w:tcW w:w="1063" w:type="pct"/>
            <w:noWrap w:val="0"/>
            <w:vAlign w:val="center"/>
          </w:tcPr>
          <w:p w14:paraId="1C92AE72">
            <w:pPr>
              <w:spacing w:line="360" w:lineRule="auto"/>
              <w:jc w:val="center"/>
              <w:rPr>
                <w:rFonts w:ascii="仿宋" w:hAnsi="仿宋" w:eastAsia="仿宋" w:cs="仿宋"/>
                <w:color w:val="000000"/>
                <w:sz w:val="20"/>
                <w:lang w:bidi="ar"/>
              </w:rPr>
            </w:pPr>
          </w:p>
        </w:tc>
        <w:tc>
          <w:tcPr>
            <w:tcW w:w="2101" w:type="pct"/>
            <w:noWrap w:val="0"/>
            <w:vAlign w:val="center"/>
          </w:tcPr>
          <w:p w14:paraId="03F160E4">
            <w:pPr>
              <w:spacing w:line="360" w:lineRule="auto"/>
              <w:jc w:val="center"/>
              <w:rPr>
                <w:rFonts w:ascii="仿宋" w:hAnsi="仿宋" w:eastAsia="仿宋" w:cs="仿宋"/>
                <w:color w:val="000000"/>
                <w:sz w:val="20"/>
                <w:lang w:bidi="ar"/>
              </w:rPr>
            </w:pPr>
          </w:p>
        </w:tc>
      </w:tr>
      <w:tr w14:paraId="09F9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trPr>
        <w:tc>
          <w:tcPr>
            <w:tcW w:w="417" w:type="pct"/>
            <w:noWrap w:val="0"/>
            <w:vAlign w:val="center"/>
          </w:tcPr>
          <w:p w14:paraId="2256BD56">
            <w:pPr>
              <w:spacing w:line="360" w:lineRule="auto"/>
              <w:jc w:val="center"/>
              <w:rPr>
                <w:rFonts w:ascii="仿宋" w:hAnsi="仿宋" w:eastAsia="仿宋" w:cs="仿宋"/>
                <w:color w:val="000000"/>
                <w:sz w:val="20"/>
                <w:lang w:bidi="ar"/>
              </w:rPr>
            </w:pPr>
          </w:p>
        </w:tc>
        <w:tc>
          <w:tcPr>
            <w:tcW w:w="612" w:type="pct"/>
            <w:noWrap w:val="0"/>
            <w:vAlign w:val="center"/>
          </w:tcPr>
          <w:p w14:paraId="66574C4E">
            <w:pPr>
              <w:spacing w:line="360" w:lineRule="auto"/>
              <w:jc w:val="center"/>
              <w:rPr>
                <w:rFonts w:ascii="仿宋" w:hAnsi="仿宋" w:eastAsia="仿宋" w:cs="仿宋"/>
                <w:color w:val="000000"/>
                <w:sz w:val="20"/>
                <w:lang w:bidi="ar"/>
              </w:rPr>
            </w:pPr>
          </w:p>
        </w:tc>
        <w:tc>
          <w:tcPr>
            <w:tcW w:w="405" w:type="pct"/>
            <w:noWrap w:val="0"/>
            <w:vAlign w:val="center"/>
          </w:tcPr>
          <w:p w14:paraId="19A148F0">
            <w:pPr>
              <w:spacing w:line="360" w:lineRule="auto"/>
              <w:jc w:val="center"/>
              <w:rPr>
                <w:rFonts w:ascii="仿宋" w:hAnsi="仿宋" w:eastAsia="仿宋" w:cs="仿宋"/>
                <w:color w:val="000000"/>
                <w:sz w:val="20"/>
                <w:lang w:bidi="ar"/>
              </w:rPr>
            </w:pPr>
          </w:p>
        </w:tc>
        <w:tc>
          <w:tcPr>
            <w:tcW w:w="399" w:type="pct"/>
            <w:noWrap w:val="0"/>
            <w:vAlign w:val="center"/>
          </w:tcPr>
          <w:p w14:paraId="71AEA0D0">
            <w:pPr>
              <w:spacing w:line="360" w:lineRule="auto"/>
              <w:jc w:val="center"/>
              <w:rPr>
                <w:rFonts w:ascii="仿宋" w:hAnsi="仿宋" w:eastAsia="仿宋" w:cs="仿宋"/>
                <w:color w:val="000000"/>
                <w:sz w:val="20"/>
                <w:lang w:bidi="ar"/>
              </w:rPr>
            </w:pPr>
          </w:p>
        </w:tc>
        <w:tc>
          <w:tcPr>
            <w:tcW w:w="1063" w:type="pct"/>
            <w:noWrap w:val="0"/>
            <w:vAlign w:val="center"/>
          </w:tcPr>
          <w:p w14:paraId="140F0736">
            <w:pPr>
              <w:spacing w:line="360" w:lineRule="auto"/>
              <w:jc w:val="center"/>
              <w:rPr>
                <w:rFonts w:ascii="仿宋" w:hAnsi="仿宋" w:eastAsia="仿宋" w:cs="仿宋"/>
                <w:color w:val="000000"/>
                <w:sz w:val="20"/>
                <w:lang w:bidi="ar"/>
              </w:rPr>
            </w:pPr>
          </w:p>
        </w:tc>
        <w:tc>
          <w:tcPr>
            <w:tcW w:w="2101" w:type="pct"/>
            <w:noWrap w:val="0"/>
            <w:vAlign w:val="center"/>
          </w:tcPr>
          <w:p w14:paraId="5BAEEE6B">
            <w:pPr>
              <w:spacing w:line="360" w:lineRule="auto"/>
              <w:jc w:val="center"/>
              <w:rPr>
                <w:rFonts w:ascii="仿宋" w:hAnsi="仿宋" w:eastAsia="仿宋" w:cs="仿宋"/>
                <w:color w:val="000000"/>
                <w:sz w:val="20"/>
                <w:lang w:bidi="ar"/>
              </w:rPr>
            </w:pPr>
          </w:p>
        </w:tc>
      </w:tr>
      <w:tr w14:paraId="07F8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2" w:hRule="atLeast"/>
        </w:trPr>
        <w:tc>
          <w:tcPr>
            <w:tcW w:w="417" w:type="pct"/>
            <w:noWrap w:val="0"/>
            <w:vAlign w:val="center"/>
          </w:tcPr>
          <w:p w14:paraId="79498804">
            <w:pPr>
              <w:spacing w:line="360" w:lineRule="auto"/>
              <w:jc w:val="center"/>
              <w:rPr>
                <w:rFonts w:ascii="仿宋" w:hAnsi="仿宋" w:eastAsia="仿宋" w:cs="仿宋"/>
                <w:color w:val="000000"/>
                <w:sz w:val="20"/>
                <w:lang w:bidi="ar"/>
              </w:rPr>
            </w:pPr>
          </w:p>
        </w:tc>
        <w:tc>
          <w:tcPr>
            <w:tcW w:w="612" w:type="pct"/>
            <w:noWrap w:val="0"/>
            <w:vAlign w:val="center"/>
          </w:tcPr>
          <w:p w14:paraId="38E64587">
            <w:pPr>
              <w:spacing w:line="360" w:lineRule="auto"/>
              <w:jc w:val="center"/>
              <w:rPr>
                <w:rFonts w:ascii="仿宋" w:hAnsi="仿宋" w:eastAsia="仿宋" w:cs="仿宋"/>
                <w:color w:val="000000"/>
                <w:sz w:val="20"/>
                <w:lang w:bidi="ar"/>
              </w:rPr>
            </w:pPr>
          </w:p>
        </w:tc>
        <w:tc>
          <w:tcPr>
            <w:tcW w:w="405" w:type="pct"/>
            <w:noWrap w:val="0"/>
            <w:vAlign w:val="center"/>
          </w:tcPr>
          <w:p w14:paraId="7ADA25CC">
            <w:pPr>
              <w:spacing w:line="360" w:lineRule="auto"/>
              <w:jc w:val="center"/>
              <w:rPr>
                <w:rFonts w:ascii="仿宋" w:hAnsi="仿宋" w:eastAsia="仿宋" w:cs="仿宋"/>
                <w:color w:val="000000"/>
                <w:sz w:val="20"/>
                <w:lang w:bidi="ar"/>
              </w:rPr>
            </w:pPr>
          </w:p>
        </w:tc>
        <w:tc>
          <w:tcPr>
            <w:tcW w:w="399" w:type="pct"/>
            <w:noWrap w:val="0"/>
            <w:vAlign w:val="center"/>
          </w:tcPr>
          <w:p w14:paraId="5542E136">
            <w:pPr>
              <w:spacing w:line="360" w:lineRule="auto"/>
              <w:jc w:val="center"/>
              <w:rPr>
                <w:rFonts w:ascii="仿宋" w:hAnsi="仿宋" w:eastAsia="仿宋" w:cs="仿宋"/>
                <w:color w:val="000000"/>
                <w:sz w:val="20"/>
                <w:lang w:bidi="ar"/>
              </w:rPr>
            </w:pPr>
          </w:p>
        </w:tc>
        <w:tc>
          <w:tcPr>
            <w:tcW w:w="1063" w:type="pct"/>
            <w:noWrap w:val="0"/>
            <w:vAlign w:val="center"/>
          </w:tcPr>
          <w:p w14:paraId="5D372112">
            <w:pPr>
              <w:spacing w:line="360" w:lineRule="auto"/>
              <w:jc w:val="center"/>
              <w:rPr>
                <w:rFonts w:ascii="仿宋" w:hAnsi="仿宋" w:eastAsia="仿宋" w:cs="仿宋"/>
                <w:color w:val="000000"/>
                <w:sz w:val="20"/>
                <w:lang w:bidi="ar"/>
              </w:rPr>
            </w:pPr>
          </w:p>
        </w:tc>
        <w:tc>
          <w:tcPr>
            <w:tcW w:w="2101" w:type="pct"/>
            <w:noWrap w:val="0"/>
            <w:vAlign w:val="center"/>
          </w:tcPr>
          <w:p w14:paraId="75DABDA1">
            <w:pPr>
              <w:spacing w:line="360" w:lineRule="auto"/>
              <w:jc w:val="center"/>
              <w:rPr>
                <w:rFonts w:ascii="仿宋" w:hAnsi="仿宋" w:eastAsia="仿宋" w:cs="仿宋"/>
                <w:color w:val="000000"/>
                <w:sz w:val="20"/>
                <w:lang w:bidi="ar"/>
              </w:rPr>
            </w:pPr>
          </w:p>
        </w:tc>
      </w:tr>
    </w:tbl>
    <w:p w14:paraId="064C901E">
      <w:pPr>
        <w:spacing w:line="360" w:lineRule="auto"/>
      </w:pPr>
    </w:p>
    <w:bookmarkEnd w:id="90"/>
    <w:bookmarkEnd w:id="211"/>
    <w:p w14:paraId="446018D0">
      <w:pPr>
        <w:pStyle w:val="21"/>
        <w:shd w:val="clear" w:color="auto" w:fill="FFFFFF"/>
        <w:spacing w:before="48" w:beforeLines="20" w:beforeAutospacing="0" w:after="48" w:afterLines="20" w:afterAutospacing="0" w:line="420" w:lineRule="exact"/>
        <w:textAlignment w:val="baseline"/>
        <w:rPr>
          <w:rFonts w:hint="eastAsia" w:ascii="仿宋_GB2312" w:hAnsi="仿宋_GB2312" w:eastAsia="仿宋_GB2312" w:cs="仿宋_GB2312"/>
          <w:sz w:val="28"/>
          <w:szCs w:val="28"/>
        </w:rPr>
      </w:pPr>
    </w:p>
    <w:sectPr>
      <w:footerReference r:id="rId19" w:type="default"/>
      <w:pgSz w:w="11905" w:h="16838"/>
      <w:pgMar w:top="1984" w:right="1871" w:bottom="1984" w:left="1871" w:header="851" w:footer="850" w:gutter="0"/>
      <w:pgNumType w:fmt="chineseCounting"/>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pingfang sc">
    <w:altName w:val="微软雅黑"/>
    <w:panose1 w:val="00000000000000000000"/>
    <w:charset w:val="00"/>
    <w:family w:val="auto"/>
    <w:pitch w:val="default"/>
    <w:sig w:usb0="00000000" w:usb1="00000000" w:usb2="00000017"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8E5A">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D8A4">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AC7CD2">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〇</w:t>
                          </w:r>
                          <w:r>
                            <w:rPr>
                              <w:sz w:val="21"/>
                              <w:szCs w:val="21"/>
                            </w:rPr>
                            <w:fldChar w:fldCharType="end"/>
                          </w:r>
                          <w:r>
                            <w:rPr>
                              <w:sz w:val="21"/>
                              <w:szCs w:val="21"/>
                            </w:rPr>
                            <w:t xml:space="preserve"> 页 共 </w:t>
                          </w:r>
                          <w:r>
                            <w:rPr>
                              <w:rFonts w:hint="eastAsia"/>
                              <w:sz w:val="21"/>
                              <w:szCs w:val="21"/>
                              <w:lang w:val="en-US" w:eastAsia="zh-CN"/>
                            </w:rPr>
                            <w:t>七十六</w:t>
                          </w:r>
                          <w:r>
                            <w:rPr>
                              <w:sz w:val="21"/>
                              <w:szCs w:val="21"/>
                            </w:rPr>
                            <w:t xml:space="preserve"> 页</w:t>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7/WtvgAQAAwAMAAA4AAAAA&#10;AAAAAQAgAAAAHgEAAGRycy9lMm9Eb2MueG1sUEsFBgAAAAAGAAYAWQEAAHAFAAAAAA==&#10;">
              <v:fill on="f" focussize="0,0"/>
              <v:stroke on="f"/>
              <v:imagedata o:title=""/>
              <o:lock v:ext="edit" aspectratio="f"/>
              <v:textbox inset="0mm,0mm,0mm,0mm" style="mso-fit-shape-to-text:t;">
                <w:txbxContent>
                  <w:p w14:paraId="25AC7CD2">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〇</w:t>
                    </w:r>
                    <w:r>
                      <w:rPr>
                        <w:sz w:val="21"/>
                        <w:szCs w:val="21"/>
                      </w:rPr>
                      <w:fldChar w:fldCharType="end"/>
                    </w:r>
                    <w:r>
                      <w:rPr>
                        <w:sz w:val="21"/>
                        <w:szCs w:val="21"/>
                      </w:rPr>
                      <w:t xml:space="preserve"> 页 共 </w:t>
                    </w:r>
                    <w:r>
                      <w:rPr>
                        <w:rFonts w:hint="eastAsia"/>
                        <w:sz w:val="21"/>
                        <w:szCs w:val="21"/>
                        <w:lang w:val="en-US" w:eastAsia="zh-CN"/>
                      </w:rPr>
                      <w:t>七十六</w:t>
                    </w:r>
                    <w:r>
                      <w:rPr>
                        <w:sz w:val="21"/>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432">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3501F">
                          <w:pPr>
                            <w:pStyle w:val="15"/>
                            <w:rPr>
                              <w:rFonts w:hint="default" w:eastAsia="仿宋_GB2312"/>
                              <w:sz w:val="21"/>
                              <w:szCs w:val="21"/>
                              <w:lang w:val="en-US" w:eastAsia="zh-CN"/>
                            </w:rPr>
                          </w:pPr>
                          <w:r>
                            <w:rPr>
                              <w:rFonts w:hint="default"/>
                              <w:sz w:val="21"/>
                              <w:szCs w:val="21"/>
                              <w:lang w:val="en-US" w:eastAsia="zh-CN"/>
                            </w:rPr>
                            <w:t xml:space="preserve">第 </w:t>
                          </w:r>
                          <w:r>
                            <w:rPr>
                              <w:rFonts w:hint="default"/>
                              <w:sz w:val="21"/>
                              <w:szCs w:val="21"/>
                              <w:lang w:val="en-US" w:eastAsia="zh-CN"/>
                            </w:rPr>
                            <w:fldChar w:fldCharType="begin"/>
                          </w:r>
                          <w:r>
                            <w:rPr>
                              <w:rFonts w:hint="default"/>
                              <w:sz w:val="21"/>
                              <w:szCs w:val="21"/>
                              <w:lang w:val="en-US" w:eastAsia="zh-CN"/>
                            </w:rPr>
                            <w:instrText xml:space="preserve"> PAGE  \* MERGEFORMAT </w:instrText>
                          </w:r>
                          <w:r>
                            <w:rPr>
                              <w:rFonts w:hint="default"/>
                              <w:sz w:val="21"/>
                              <w:szCs w:val="21"/>
                              <w:lang w:val="en-US" w:eastAsia="zh-CN"/>
                            </w:rPr>
                            <w:fldChar w:fldCharType="separate"/>
                          </w:r>
                          <w:r>
                            <w:rPr>
                              <w:rFonts w:hint="default"/>
                              <w:sz w:val="21"/>
                              <w:szCs w:val="21"/>
                              <w:lang w:val="en-US" w:eastAsia="zh-CN"/>
                            </w:rPr>
                            <w:t>二十</w:t>
                          </w:r>
                          <w:r>
                            <w:rPr>
                              <w:rFonts w:hint="default"/>
                              <w:sz w:val="21"/>
                              <w:szCs w:val="21"/>
                              <w:lang w:val="en-US" w:eastAsia="zh-CN"/>
                            </w:rPr>
                            <w:fldChar w:fldCharType="end"/>
                          </w:r>
                          <w:r>
                            <w:rPr>
                              <w:rFonts w:hint="default"/>
                              <w:sz w:val="21"/>
                              <w:szCs w:val="21"/>
                              <w:lang w:val="en-US" w:eastAsia="zh-CN"/>
                            </w:rPr>
                            <w:t xml:space="preserve"> 页 共 </w:t>
                          </w:r>
                          <w:r>
                            <w:rPr>
                              <w:rFonts w:hint="eastAsia"/>
                              <w:sz w:val="21"/>
                              <w:szCs w:val="21"/>
                              <w:lang w:val="en-US" w:eastAsia="zh-CN"/>
                            </w:rPr>
                            <w:t>七十六</w:t>
                          </w:r>
                          <w:r>
                            <w:rPr>
                              <w:rFonts w:hint="default"/>
                              <w:sz w:val="21"/>
                              <w:szCs w:val="21"/>
                              <w:lang w:val="en-US" w:eastAsia="zh-CN"/>
                            </w:rPr>
                            <w:t xml:space="preserve"> 页</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8IneN8BAADAAwAADgAAAGRycy9lMm9Eb2MueG1srVPNjtMwEL4j8Q6W&#10;7zTZSqAS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U/PlS86csDTx84/v55+/z7++&#10;seXzJFAfYkV5t4EycXjtB1qb2R/JmXgPLdj0J0aM4iTv6SKvGpDJdGm1XK1KCkmKzQfCL+6vB4j4&#10;VnnLklFzoPllWcXxfcQxdU5J1Zy/0cbkGRr3l4Mwk6dIvY89JguH3TAR2vnmRHzoIVCdzsNXznpa&#10;g5o72nrOzDtHKqeNmQ2Yjd1sCCfpYs2Rs9F8g+NmHQLofZd3LTUVw6sDUqeZQGpjrD11R4PNEkxL&#10;mDbnz3POun94m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8IneN8BAADAAwAADgAAAAAA&#10;AAABACAAAAAeAQAAZHJzL2Uyb0RvYy54bWxQSwUGAAAAAAYABgBZAQAAbwUAAAAA&#10;">
              <v:fill on="f" focussize="0,0"/>
              <v:stroke on="f"/>
              <v:imagedata o:title=""/>
              <o:lock v:ext="edit" aspectratio="f"/>
              <v:textbox inset="0mm,0mm,0mm,0mm" style="mso-fit-shape-to-text:t;">
                <w:txbxContent>
                  <w:p w14:paraId="5A53501F">
                    <w:pPr>
                      <w:pStyle w:val="15"/>
                      <w:rPr>
                        <w:rFonts w:hint="default" w:eastAsia="仿宋_GB2312"/>
                        <w:sz w:val="21"/>
                        <w:szCs w:val="21"/>
                        <w:lang w:val="en-US" w:eastAsia="zh-CN"/>
                      </w:rPr>
                    </w:pPr>
                    <w:r>
                      <w:rPr>
                        <w:rFonts w:hint="default"/>
                        <w:sz w:val="21"/>
                        <w:szCs w:val="21"/>
                        <w:lang w:val="en-US" w:eastAsia="zh-CN"/>
                      </w:rPr>
                      <w:t xml:space="preserve">第 </w:t>
                    </w:r>
                    <w:r>
                      <w:rPr>
                        <w:rFonts w:hint="default"/>
                        <w:sz w:val="21"/>
                        <w:szCs w:val="21"/>
                        <w:lang w:val="en-US" w:eastAsia="zh-CN"/>
                      </w:rPr>
                      <w:fldChar w:fldCharType="begin"/>
                    </w:r>
                    <w:r>
                      <w:rPr>
                        <w:rFonts w:hint="default"/>
                        <w:sz w:val="21"/>
                        <w:szCs w:val="21"/>
                        <w:lang w:val="en-US" w:eastAsia="zh-CN"/>
                      </w:rPr>
                      <w:instrText xml:space="preserve"> PAGE  \* MERGEFORMAT </w:instrText>
                    </w:r>
                    <w:r>
                      <w:rPr>
                        <w:rFonts w:hint="default"/>
                        <w:sz w:val="21"/>
                        <w:szCs w:val="21"/>
                        <w:lang w:val="en-US" w:eastAsia="zh-CN"/>
                      </w:rPr>
                      <w:fldChar w:fldCharType="separate"/>
                    </w:r>
                    <w:r>
                      <w:rPr>
                        <w:rFonts w:hint="default"/>
                        <w:sz w:val="21"/>
                        <w:szCs w:val="21"/>
                        <w:lang w:val="en-US" w:eastAsia="zh-CN"/>
                      </w:rPr>
                      <w:t>二十</w:t>
                    </w:r>
                    <w:r>
                      <w:rPr>
                        <w:rFonts w:hint="default"/>
                        <w:sz w:val="21"/>
                        <w:szCs w:val="21"/>
                        <w:lang w:val="en-US" w:eastAsia="zh-CN"/>
                      </w:rPr>
                      <w:fldChar w:fldCharType="end"/>
                    </w:r>
                    <w:r>
                      <w:rPr>
                        <w:rFonts w:hint="default"/>
                        <w:sz w:val="21"/>
                        <w:szCs w:val="21"/>
                        <w:lang w:val="en-US" w:eastAsia="zh-CN"/>
                      </w:rPr>
                      <w:t xml:space="preserve"> 页 共 </w:t>
                    </w:r>
                    <w:r>
                      <w:rPr>
                        <w:rFonts w:hint="eastAsia"/>
                        <w:sz w:val="21"/>
                        <w:szCs w:val="21"/>
                        <w:lang w:val="en-US" w:eastAsia="zh-CN"/>
                      </w:rPr>
                      <w:t>七十六</w:t>
                    </w:r>
                    <w:r>
                      <w:rPr>
                        <w:rFonts w:hint="default"/>
                        <w:sz w:val="21"/>
                        <w:szCs w:val="21"/>
                        <w:lang w:val="en-US" w:eastAsia="zh-CN"/>
                      </w:rPr>
                      <w:t xml:space="preserve"> 页</w:t>
                    </w:r>
                  </w:p>
                </w:txbxContent>
              </v:textbox>
            </v:shape>
          </w:pict>
        </mc:Fallback>
      </mc:AlternateContent>
    </w:r>
    <w:r>
      <w:rPr>
        <w:rFonts w:hint="eastAsia"/>
      </w:rPr>
      <w:t>V1.0</w:t>
    </w:r>
  </w:p>
  <w:p w14:paraId="4DF0E71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8141">
    <w:pPr>
      <w:pStyle w:val="21"/>
      <w:shd w:val="clear" w:color="auto" w:fill="FFFFFF"/>
      <w:wordWrap w:val="0"/>
      <w:spacing w:beforeLines="0" w:afterLines="0" w:line="576" w:lineRule="exact"/>
      <w:ind w:firstLine="0" w:firstLineChars="0"/>
      <w:textAlignment w:val="baseline"/>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ED62F">
                          <w:pPr>
                            <w:pStyle w:val="15"/>
                            <w:rPr>
                              <w:rFonts w:ascii="Times New Roman" w:hAnsi="Times New Roman" w:eastAsia="宋体"/>
                              <w:sz w:val="21"/>
                              <w:szCs w:val="21"/>
                            </w:rPr>
                          </w:pPr>
                          <w:r>
                            <w:rPr>
                              <w:rFonts w:ascii="Times New Roman" w:hAnsi="Times New Roman" w:eastAsia="宋体"/>
                              <w:sz w:val="21"/>
                              <w:szCs w:val="21"/>
                            </w:rPr>
                            <w:t xml:space="preserve">第 </w:t>
                          </w:r>
                          <w:r>
                            <w:rPr>
                              <w:rFonts w:ascii="Times New Roman" w:hAnsi="Times New Roman" w:eastAsia="宋体"/>
                              <w:sz w:val="21"/>
                              <w:szCs w:val="21"/>
                            </w:rPr>
                            <w:fldChar w:fldCharType="begin"/>
                          </w:r>
                          <w:r>
                            <w:rPr>
                              <w:rFonts w:ascii="Times New Roman" w:hAnsi="Times New Roman" w:eastAsia="宋体"/>
                              <w:sz w:val="21"/>
                              <w:szCs w:val="21"/>
                            </w:rPr>
                            <w:instrText xml:space="preserve"> PAGE  \* MERGEFORMAT </w:instrText>
                          </w:r>
                          <w:r>
                            <w:rPr>
                              <w:rFonts w:ascii="Times New Roman" w:hAnsi="Times New Roman" w:eastAsia="宋体"/>
                              <w:sz w:val="21"/>
                              <w:szCs w:val="21"/>
                            </w:rPr>
                            <w:fldChar w:fldCharType="separate"/>
                          </w:r>
                          <w:r>
                            <w:rPr>
                              <w:rFonts w:ascii="Times New Roman" w:hAnsi="Times New Roman" w:eastAsia="宋体"/>
                              <w:sz w:val="21"/>
                              <w:szCs w:val="21"/>
                            </w:rPr>
                            <w:t>一</w:t>
                          </w:r>
                          <w:r>
                            <w:rPr>
                              <w:rFonts w:ascii="Times New Roman" w:hAnsi="Times New Roman" w:eastAsia="宋体"/>
                              <w:sz w:val="21"/>
                              <w:szCs w:val="21"/>
                            </w:rPr>
                            <w:fldChar w:fldCharType="end"/>
                          </w:r>
                          <w:r>
                            <w:rPr>
                              <w:rFonts w:ascii="Times New Roman" w:hAnsi="Times New Roman" w:eastAsia="宋体"/>
                              <w:sz w:val="21"/>
                              <w:szCs w:val="21"/>
                            </w:rPr>
                            <w:t xml:space="preserve"> 页 共 </w:t>
                          </w:r>
                          <w:r>
                            <w:rPr>
                              <w:rFonts w:hint="eastAsia" w:ascii="Times New Roman" w:hAnsi="Times New Roman" w:eastAsia="宋体"/>
                              <w:sz w:val="21"/>
                              <w:szCs w:val="21"/>
                              <w:lang w:val="en-US" w:eastAsia="zh-CN"/>
                            </w:rPr>
                            <w:t>七十六</w:t>
                          </w:r>
                          <w:r>
                            <w:rPr>
                              <w:rFonts w:ascii="Times New Roman" w:hAnsi="Times New Roman" w:eastAsia="宋体"/>
                              <w:sz w:val="21"/>
                              <w:szCs w:val="21"/>
                            </w:rPr>
                            <w:t xml:space="preserve"> 页</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yBfht8BAAC/AwAADgAAAAAA&#10;AAABACAAAAAeAQAAZHJzL2Uyb0RvYy54bWxQSwUGAAAAAAYABgBZAQAAbwUAAAAA&#10;">
              <v:fill on="f" focussize="0,0"/>
              <v:stroke on="f"/>
              <v:imagedata o:title=""/>
              <o:lock v:ext="edit" aspectratio="f"/>
              <v:textbox inset="0mm,0mm,0mm,0mm" style="mso-fit-shape-to-text:t;">
                <w:txbxContent>
                  <w:p w14:paraId="5B7ED62F">
                    <w:pPr>
                      <w:pStyle w:val="15"/>
                      <w:rPr>
                        <w:rFonts w:ascii="Times New Roman" w:hAnsi="Times New Roman" w:eastAsia="宋体"/>
                        <w:sz w:val="21"/>
                        <w:szCs w:val="21"/>
                      </w:rPr>
                    </w:pPr>
                    <w:r>
                      <w:rPr>
                        <w:rFonts w:ascii="Times New Roman" w:hAnsi="Times New Roman" w:eastAsia="宋体"/>
                        <w:sz w:val="21"/>
                        <w:szCs w:val="21"/>
                      </w:rPr>
                      <w:t xml:space="preserve">第 </w:t>
                    </w:r>
                    <w:r>
                      <w:rPr>
                        <w:rFonts w:ascii="Times New Roman" w:hAnsi="Times New Roman" w:eastAsia="宋体"/>
                        <w:sz w:val="21"/>
                        <w:szCs w:val="21"/>
                      </w:rPr>
                      <w:fldChar w:fldCharType="begin"/>
                    </w:r>
                    <w:r>
                      <w:rPr>
                        <w:rFonts w:ascii="Times New Roman" w:hAnsi="Times New Roman" w:eastAsia="宋体"/>
                        <w:sz w:val="21"/>
                        <w:szCs w:val="21"/>
                      </w:rPr>
                      <w:instrText xml:space="preserve"> PAGE  \* MERGEFORMAT </w:instrText>
                    </w:r>
                    <w:r>
                      <w:rPr>
                        <w:rFonts w:ascii="Times New Roman" w:hAnsi="Times New Roman" w:eastAsia="宋体"/>
                        <w:sz w:val="21"/>
                        <w:szCs w:val="21"/>
                      </w:rPr>
                      <w:fldChar w:fldCharType="separate"/>
                    </w:r>
                    <w:r>
                      <w:rPr>
                        <w:rFonts w:ascii="Times New Roman" w:hAnsi="Times New Roman" w:eastAsia="宋体"/>
                        <w:sz w:val="21"/>
                        <w:szCs w:val="21"/>
                      </w:rPr>
                      <w:t>一</w:t>
                    </w:r>
                    <w:r>
                      <w:rPr>
                        <w:rFonts w:ascii="Times New Roman" w:hAnsi="Times New Roman" w:eastAsia="宋体"/>
                        <w:sz w:val="21"/>
                        <w:szCs w:val="21"/>
                      </w:rPr>
                      <w:fldChar w:fldCharType="end"/>
                    </w:r>
                    <w:r>
                      <w:rPr>
                        <w:rFonts w:ascii="Times New Roman" w:hAnsi="Times New Roman" w:eastAsia="宋体"/>
                        <w:sz w:val="21"/>
                        <w:szCs w:val="21"/>
                      </w:rPr>
                      <w:t xml:space="preserve"> 页 共 </w:t>
                    </w:r>
                    <w:r>
                      <w:rPr>
                        <w:rFonts w:hint="eastAsia" w:ascii="Times New Roman" w:hAnsi="Times New Roman" w:eastAsia="宋体"/>
                        <w:sz w:val="21"/>
                        <w:szCs w:val="21"/>
                        <w:lang w:val="en-US" w:eastAsia="zh-CN"/>
                      </w:rPr>
                      <w:t>七十六</w:t>
                    </w:r>
                    <w:r>
                      <w:rPr>
                        <w:rFonts w:ascii="Times New Roman" w:hAnsi="Times New Roman" w:eastAsia="宋体"/>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BF34C">
    <w:pPr>
      <w:pStyle w:val="15"/>
      <w:framePr w:h="263" w:hRule="exact" w:wrap="around" w:vAnchor="text" w:hAnchor="margin" w:xAlign="right" w:y="-29"/>
      <w:rPr>
        <w:rStyle w:val="27"/>
        <w:rFonts w:eastAsia="宋体"/>
      </w:rPr>
    </w:pPr>
    <w:r>
      <w:fldChar w:fldCharType="begin"/>
    </w:r>
    <w:r>
      <w:rPr>
        <w:rStyle w:val="27"/>
        <w:rFonts w:eastAsia="宋体"/>
      </w:rPr>
      <w:instrText xml:space="preserve">PAGE  </w:instrText>
    </w:r>
    <w:r>
      <w:fldChar w:fldCharType="separate"/>
    </w:r>
    <w:r>
      <w:rPr>
        <w:rStyle w:val="27"/>
        <w:rFonts w:eastAsia="宋体"/>
      </w:rPr>
      <w:t>4</w:t>
    </w:r>
    <w:r>
      <w:fldChar w:fldCharType="end"/>
    </w:r>
  </w:p>
  <w:p w14:paraId="4F81770B">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37E4">
    <w:pPr>
      <w:pStyle w:val="15"/>
    </w:pPr>
    <w:r>
      <w:rPr>
        <w:rFonts w:hint="eastAsia"/>
      </w:rPr>
      <w:drawing>
        <wp:inline distT="0" distB="0" distL="114300" distR="114300">
          <wp:extent cx="5274945" cy="378460"/>
          <wp:effectExtent l="0" t="0" r="0" b="0"/>
          <wp:docPr id="33" name="图片 3" descr="06RH{[A)Y9GZ)U@$F56(Y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06RH{[A)Y9GZ)U@$F56(Y_K"/>
                  <pic:cNvPicPr>
                    <a:picLocks noChangeAspect="1"/>
                  </pic:cNvPicPr>
                </pic:nvPicPr>
                <pic:blipFill>
                  <a:blip r:embed="rId1"/>
                  <a:stretch>
                    <a:fillRect/>
                  </a:stretch>
                </pic:blipFill>
                <pic:spPr>
                  <a:xfrm>
                    <a:off x="0" y="0"/>
                    <a:ext cx="5274945" cy="37846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DD77">
    <w:pPr>
      <w:pStyle w:val="15"/>
      <w:jc w:val="center"/>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20BF40">
                          <w:pPr>
                            <w:pStyle w:val="15"/>
                            <w:rPr>
                              <w:rFonts w:ascii="Times New Roman" w:hAnsi="Times New Roman" w:eastAsia="宋体"/>
                              <w:sz w:val="21"/>
                              <w:szCs w:val="21"/>
                            </w:rPr>
                          </w:pPr>
                          <w:r>
                            <w:rPr>
                              <w:rFonts w:ascii="Times New Roman" w:hAnsi="Times New Roman" w:eastAsia="宋体"/>
                              <w:sz w:val="21"/>
                              <w:szCs w:val="21"/>
                            </w:rPr>
                            <w:t xml:space="preserve">第 </w:t>
                          </w:r>
                          <w:r>
                            <w:rPr>
                              <w:rFonts w:ascii="Times New Roman" w:hAnsi="Times New Roman" w:eastAsia="宋体"/>
                              <w:sz w:val="21"/>
                              <w:szCs w:val="21"/>
                            </w:rPr>
                            <w:fldChar w:fldCharType="begin"/>
                          </w:r>
                          <w:r>
                            <w:rPr>
                              <w:rFonts w:ascii="Times New Roman" w:hAnsi="Times New Roman" w:eastAsia="宋体"/>
                              <w:sz w:val="21"/>
                              <w:szCs w:val="21"/>
                            </w:rPr>
                            <w:instrText xml:space="preserve"> PAGE  \* MERGEFORMAT </w:instrText>
                          </w:r>
                          <w:r>
                            <w:rPr>
                              <w:rFonts w:ascii="Times New Roman" w:hAnsi="Times New Roman" w:eastAsia="宋体"/>
                              <w:sz w:val="21"/>
                              <w:szCs w:val="21"/>
                            </w:rPr>
                            <w:fldChar w:fldCharType="separate"/>
                          </w:r>
                          <w:r>
                            <w:rPr>
                              <w:rFonts w:ascii="Times New Roman" w:hAnsi="Times New Roman" w:eastAsia="宋体"/>
                              <w:sz w:val="21"/>
                              <w:szCs w:val="21"/>
                            </w:rPr>
                            <w:t>十五</w:t>
                          </w:r>
                          <w:r>
                            <w:rPr>
                              <w:rFonts w:ascii="Times New Roman" w:hAnsi="Times New Roman" w:eastAsia="宋体"/>
                              <w:sz w:val="21"/>
                              <w:szCs w:val="21"/>
                            </w:rPr>
                            <w:fldChar w:fldCharType="end"/>
                          </w:r>
                          <w:r>
                            <w:rPr>
                              <w:rFonts w:ascii="Times New Roman" w:hAnsi="Times New Roman" w:eastAsia="宋体"/>
                              <w:sz w:val="21"/>
                              <w:szCs w:val="21"/>
                            </w:rPr>
                            <w:t xml:space="preserve"> 页 共 </w:t>
                          </w:r>
                          <w:r>
                            <w:rPr>
                              <w:rFonts w:hint="eastAsia" w:ascii="Times New Roman" w:hAnsi="Times New Roman" w:eastAsia="宋体"/>
                              <w:sz w:val="21"/>
                              <w:szCs w:val="21"/>
                              <w:lang w:val="en-US" w:eastAsia="zh-CN"/>
                            </w:rPr>
                            <w:t>七十六</w:t>
                          </w:r>
                          <w:r>
                            <w:rPr>
                              <w:rFonts w:ascii="Times New Roman" w:hAnsi="Times New Roman" w:eastAsia="宋体"/>
                              <w:sz w:val="21"/>
                              <w:szCs w:val="21"/>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F7In63gEAAL8DAAAOAAAAAAAA&#10;AAEAIAAAAB4BAABkcnMvZTJvRG9jLnhtbFBLBQYAAAAABgAGAFkBAABuBQAAAAA=&#10;">
              <v:fill on="f" focussize="0,0"/>
              <v:stroke on="f"/>
              <v:imagedata o:title=""/>
              <o:lock v:ext="edit" aspectratio="f"/>
              <v:textbox inset="0mm,0mm,0mm,0mm" style="mso-fit-shape-to-text:t;">
                <w:txbxContent>
                  <w:p w14:paraId="2920BF40">
                    <w:pPr>
                      <w:pStyle w:val="15"/>
                      <w:rPr>
                        <w:rFonts w:ascii="Times New Roman" w:hAnsi="Times New Roman" w:eastAsia="宋体"/>
                        <w:sz w:val="21"/>
                        <w:szCs w:val="21"/>
                      </w:rPr>
                    </w:pPr>
                    <w:r>
                      <w:rPr>
                        <w:rFonts w:ascii="Times New Roman" w:hAnsi="Times New Roman" w:eastAsia="宋体"/>
                        <w:sz w:val="21"/>
                        <w:szCs w:val="21"/>
                      </w:rPr>
                      <w:t xml:space="preserve">第 </w:t>
                    </w:r>
                    <w:r>
                      <w:rPr>
                        <w:rFonts w:ascii="Times New Roman" w:hAnsi="Times New Roman" w:eastAsia="宋体"/>
                        <w:sz w:val="21"/>
                        <w:szCs w:val="21"/>
                      </w:rPr>
                      <w:fldChar w:fldCharType="begin"/>
                    </w:r>
                    <w:r>
                      <w:rPr>
                        <w:rFonts w:ascii="Times New Roman" w:hAnsi="Times New Roman" w:eastAsia="宋体"/>
                        <w:sz w:val="21"/>
                        <w:szCs w:val="21"/>
                      </w:rPr>
                      <w:instrText xml:space="preserve"> PAGE  \* MERGEFORMAT </w:instrText>
                    </w:r>
                    <w:r>
                      <w:rPr>
                        <w:rFonts w:ascii="Times New Roman" w:hAnsi="Times New Roman" w:eastAsia="宋体"/>
                        <w:sz w:val="21"/>
                        <w:szCs w:val="21"/>
                      </w:rPr>
                      <w:fldChar w:fldCharType="separate"/>
                    </w:r>
                    <w:r>
                      <w:rPr>
                        <w:rFonts w:ascii="Times New Roman" w:hAnsi="Times New Roman" w:eastAsia="宋体"/>
                        <w:sz w:val="21"/>
                        <w:szCs w:val="21"/>
                      </w:rPr>
                      <w:t>十五</w:t>
                    </w:r>
                    <w:r>
                      <w:rPr>
                        <w:rFonts w:ascii="Times New Roman" w:hAnsi="Times New Roman" w:eastAsia="宋体"/>
                        <w:sz w:val="21"/>
                        <w:szCs w:val="21"/>
                      </w:rPr>
                      <w:fldChar w:fldCharType="end"/>
                    </w:r>
                    <w:r>
                      <w:rPr>
                        <w:rFonts w:ascii="Times New Roman" w:hAnsi="Times New Roman" w:eastAsia="宋体"/>
                        <w:sz w:val="21"/>
                        <w:szCs w:val="21"/>
                      </w:rPr>
                      <w:t xml:space="preserve"> 页 共 </w:t>
                    </w:r>
                    <w:r>
                      <w:rPr>
                        <w:rFonts w:hint="eastAsia" w:ascii="Times New Roman" w:hAnsi="Times New Roman" w:eastAsia="宋体"/>
                        <w:sz w:val="21"/>
                        <w:szCs w:val="21"/>
                        <w:lang w:val="en-US" w:eastAsia="zh-CN"/>
                      </w:rPr>
                      <w:t>七十六</w:t>
                    </w:r>
                    <w:r>
                      <w:rPr>
                        <w:rFonts w:ascii="Times New Roman" w:hAnsi="Times New Roman" w:eastAsia="宋体"/>
                        <w:sz w:val="21"/>
                        <w:szCs w:val="21"/>
                      </w:rPr>
                      <w:t xml:space="preserve"> 页</w:t>
                    </w:r>
                  </w:p>
                </w:txbxContent>
              </v:textbox>
            </v:shape>
          </w:pict>
        </mc:Fallback>
      </mc:AlternateContent>
    </w:r>
  </w:p>
  <w:p w14:paraId="481522E6">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89C4">
    <w:pPr>
      <w:pStyle w:val="15"/>
      <w:jc w:val="center"/>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C23E25">
                          <w:pPr>
                            <w:pStyle w:val="15"/>
                            <w:rPr>
                              <w:rFonts w:ascii="Times New Roman" w:hAnsi="Times New Roman" w:eastAsia="宋体"/>
                              <w:sz w:val="21"/>
                              <w:szCs w:val="21"/>
                            </w:rPr>
                          </w:pPr>
                          <w:r>
                            <w:rPr>
                              <w:rFonts w:ascii="Times New Roman" w:hAnsi="Times New Roman" w:eastAsia="宋体"/>
                              <w:sz w:val="21"/>
                              <w:szCs w:val="21"/>
                            </w:rPr>
                            <w:t xml:space="preserve">第 </w:t>
                          </w:r>
                          <w:r>
                            <w:rPr>
                              <w:rFonts w:ascii="Times New Roman" w:hAnsi="Times New Roman" w:eastAsia="宋体"/>
                              <w:sz w:val="21"/>
                              <w:szCs w:val="21"/>
                            </w:rPr>
                            <w:fldChar w:fldCharType="begin"/>
                          </w:r>
                          <w:r>
                            <w:rPr>
                              <w:rFonts w:ascii="Times New Roman" w:hAnsi="Times New Roman" w:eastAsia="宋体"/>
                              <w:sz w:val="21"/>
                              <w:szCs w:val="21"/>
                            </w:rPr>
                            <w:instrText xml:space="preserve"> PAGE  \* MERGEFORMAT </w:instrText>
                          </w:r>
                          <w:r>
                            <w:rPr>
                              <w:rFonts w:ascii="Times New Roman" w:hAnsi="Times New Roman" w:eastAsia="宋体"/>
                              <w:sz w:val="21"/>
                              <w:szCs w:val="21"/>
                            </w:rPr>
                            <w:fldChar w:fldCharType="separate"/>
                          </w:r>
                          <w:r>
                            <w:rPr>
                              <w:rFonts w:ascii="Times New Roman" w:hAnsi="Times New Roman" w:eastAsia="宋体"/>
                              <w:sz w:val="21"/>
                              <w:szCs w:val="21"/>
                            </w:rPr>
                            <w:t>四十七</w:t>
                          </w:r>
                          <w:r>
                            <w:rPr>
                              <w:rFonts w:ascii="Times New Roman" w:hAnsi="Times New Roman" w:eastAsia="宋体"/>
                              <w:sz w:val="21"/>
                              <w:szCs w:val="21"/>
                            </w:rPr>
                            <w:fldChar w:fldCharType="end"/>
                          </w:r>
                          <w:r>
                            <w:rPr>
                              <w:rFonts w:ascii="Times New Roman" w:hAnsi="Times New Roman" w:eastAsia="宋体"/>
                              <w:sz w:val="21"/>
                              <w:szCs w:val="21"/>
                            </w:rPr>
                            <w:t xml:space="preserve"> 页 共 </w:t>
                          </w:r>
                          <w:r>
                            <w:rPr>
                              <w:rFonts w:hint="eastAsia" w:ascii="Times New Roman" w:hAnsi="Times New Roman" w:eastAsia="宋体"/>
                              <w:sz w:val="21"/>
                              <w:szCs w:val="21"/>
                              <w:lang w:val="en-US" w:eastAsia="zh-CN"/>
                            </w:rPr>
                            <w:t>七十六</w:t>
                          </w:r>
                          <w:r>
                            <w:rPr>
                              <w:rFonts w:ascii="Times New Roman" w:hAnsi="Times New Roman" w:eastAsia="宋体"/>
                              <w:sz w:val="21"/>
                              <w:szCs w:val="21"/>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rWmd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qsXnDlhaeKX798uP35dfn5l&#10;y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StaZ3gEAAL8DAAAOAAAAAAAA&#10;AAEAIAAAAB4BAABkcnMvZTJvRG9jLnhtbFBLBQYAAAAABgAGAFkBAABuBQAAAAA=&#10;">
              <v:fill on="f" focussize="0,0"/>
              <v:stroke on="f"/>
              <v:imagedata o:title=""/>
              <o:lock v:ext="edit" aspectratio="f"/>
              <v:textbox inset="0mm,0mm,0mm,0mm" style="mso-fit-shape-to-text:t;">
                <w:txbxContent>
                  <w:p w14:paraId="25C23E25">
                    <w:pPr>
                      <w:pStyle w:val="15"/>
                      <w:rPr>
                        <w:rFonts w:ascii="Times New Roman" w:hAnsi="Times New Roman" w:eastAsia="宋体"/>
                        <w:sz w:val="21"/>
                        <w:szCs w:val="21"/>
                      </w:rPr>
                    </w:pPr>
                    <w:r>
                      <w:rPr>
                        <w:rFonts w:ascii="Times New Roman" w:hAnsi="Times New Roman" w:eastAsia="宋体"/>
                        <w:sz w:val="21"/>
                        <w:szCs w:val="21"/>
                      </w:rPr>
                      <w:t xml:space="preserve">第 </w:t>
                    </w:r>
                    <w:r>
                      <w:rPr>
                        <w:rFonts w:ascii="Times New Roman" w:hAnsi="Times New Roman" w:eastAsia="宋体"/>
                        <w:sz w:val="21"/>
                        <w:szCs w:val="21"/>
                      </w:rPr>
                      <w:fldChar w:fldCharType="begin"/>
                    </w:r>
                    <w:r>
                      <w:rPr>
                        <w:rFonts w:ascii="Times New Roman" w:hAnsi="Times New Roman" w:eastAsia="宋体"/>
                        <w:sz w:val="21"/>
                        <w:szCs w:val="21"/>
                      </w:rPr>
                      <w:instrText xml:space="preserve"> PAGE  \* MERGEFORMAT </w:instrText>
                    </w:r>
                    <w:r>
                      <w:rPr>
                        <w:rFonts w:ascii="Times New Roman" w:hAnsi="Times New Roman" w:eastAsia="宋体"/>
                        <w:sz w:val="21"/>
                        <w:szCs w:val="21"/>
                      </w:rPr>
                      <w:fldChar w:fldCharType="separate"/>
                    </w:r>
                    <w:r>
                      <w:rPr>
                        <w:rFonts w:ascii="Times New Roman" w:hAnsi="Times New Roman" w:eastAsia="宋体"/>
                        <w:sz w:val="21"/>
                        <w:szCs w:val="21"/>
                      </w:rPr>
                      <w:t>四十七</w:t>
                    </w:r>
                    <w:r>
                      <w:rPr>
                        <w:rFonts w:ascii="Times New Roman" w:hAnsi="Times New Roman" w:eastAsia="宋体"/>
                        <w:sz w:val="21"/>
                        <w:szCs w:val="21"/>
                      </w:rPr>
                      <w:fldChar w:fldCharType="end"/>
                    </w:r>
                    <w:r>
                      <w:rPr>
                        <w:rFonts w:ascii="Times New Roman" w:hAnsi="Times New Roman" w:eastAsia="宋体"/>
                        <w:sz w:val="21"/>
                        <w:szCs w:val="21"/>
                      </w:rPr>
                      <w:t xml:space="preserve"> 页 共 </w:t>
                    </w:r>
                    <w:r>
                      <w:rPr>
                        <w:rFonts w:hint="eastAsia" w:ascii="Times New Roman" w:hAnsi="Times New Roman" w:eastAsia="宋体"/>
                        <w:sz w:val="21"/>
                        <w:szCs w:val="21"/>
                        <w:lang w:val="en-US" w:eastAsia="zh-CN"/>
                      </w:rPr>
                      <w:t>七十六</w:t>
                    </w:r>
                    <w:r>
                      <w:rPr>
                        <w:rFonts w:ascii="Times New Roman" w:hAnsi="Times New Roman" w:eastAsia="宋体"/>
                        <w:sz w:val="21"/>
                        <w:szCs w:val="21"/>
                      </w:rPr>
                      <w:t xml:space="preserve"> 页</w:t>
                    </w:r>
                  </w:p>
                </w:txbxContent>
              </v:textbox>
            </v:shape>
          </w:pict>
        </mc:Fallback>
      </mc:AlternateContent>
    </w:r>
  </w:p>
  <w:p w14:paraId="47798CE6">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D58F">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B984F2">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一</w:t>
                          </w:r>
                          <w:r>
                            <w:rPr>
                              <w:sz w:val="21"/>
                              <w:szCs w:val="21"/>
                            </w:rPr>
                            <w:fldChar w:fldCharType="end"/>
                          </w:r>
                          <w:r>
                            <w:rPr>
                              <w:sz w:val="21"/>
                              <w:szCs w:val="21"/>
                            </w:rPr>
                            <w:t xml:space="preserve"> 页 共 </w:t>
                          </w:r>
                          <w:r>
                            <w:rPr>
                              <w:rFonts w:hint="eastAsia"/>
                              <w:sz w:val="21"/>
                              <w:szCs w:val="21"/>
                              <w:lang w:val="en-US" w:eastAsia="zh-CN"/>
                            </w:rPr>
                            <w:t>七十六</w:t>
                          </w:r>
                          <w:r>
                            <w:rPr>
                              <w:sz w:val="21"/>
                              <w:szCs w:val="21"/>
                            </w:rPr>
                            <w:t xml:space="preserve"> 页</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qItbMt8BAADAAwAADgAAAAAA&#10;AAABACAAAAAeAQAAZHJzL2Uyb0RvYy54bWxQSwUGAAAAAAYABgBZAQAAbwUAAAAA&#10;">
              <v:fill on="f" focussize="0,0"/>
              <v:stroke on="f"/>
              <v:imagedata o:title=""/>
              <o:lock v:ext="edit" aspectratio="f"/>
              <v:textbox inset="0mm,0mm,0mm,0mm" style="mso-fit-shape-to-text:t;">
                <w:txbxContent>
                  <w:p w14:paraId="14B984F2">
                    <w:pPr>
                      <w:pStyle w:val="1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一</w:t>
                    </w:r>
                    <w:r>
                      <w:rPr>
                        <w:sz w:val="21"/>
                        <w:szCs w:val="21"/>
                      </w:rPr>
                      <w:fldChar w:fldCharType="end"/>
                    </w:r>
                    <w:r>
                      <w:rPr>
                        <w:sz w:val="21"/>
                        <w:szCs w:val="21"/>
                      </w:rPr>
                      <w:t xml:space="preserve"> 页 共 </w:t>
                    </w:r>
                    <w:r>
                      <w:rPr>
                        <w:rFonts w:hint="eastAsia"/>
                        <w:sz w:val="21"/>
                        <w:szCs w:val="21"/>
                        <w:lang w:val="en-US" w:eastAsia="zh-CN"/>
                      </w:rPr>
                      <w:t>七十六</w:t>
                    </w:r>
                    <w:r>
                      <w:rPr>
                        <w:sz w:val="21"/>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489E">
    <w:pPr>
      <w:pStyle w:val="15"/>
      <w:framePr w:wrap="auto" w:vAnchor="text" w:hAnchor="margin" w:xAlign="center" w:y="1"/>
      <w:rPr>
        <w:rStyle w:val="27"/>
      </w:rPr>
    </w:pPr>
    <w:r>
      <w:rPr>
        <w:rStyle w:val="27"/>
      </w:rPr>
      <w:fldChar w:fldCharType="begin"/>
    </w:r>
    <w:r>
      <w:rPr>
        <w:rStyle w:val="27"/>
      </w:rPr>
      <w:instrText xml:space="preserve"> PAGE </w:instrText>
    </w:r>
    <w:r>
      <w:rPr>
        <w:rStyle w:val="27"/>
      </w:rPr>
      <w:fldChar w:fldCharType="end"/>
    </w:r>
  </w:p>
  <w:p w14:paraId="60E37A0F">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DC64">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96434C">
                          <w:pPr>
                            <w:pStyle w:val="15"/>
                            <w:rPr>
                              <w:rFonts w:hint="default"/>
                              <w:sz w:val="21"/>
                              <w:szCs w:val="21"/>
                              <w:lang w:val="en-US"/>
                            </w:rPr>
                          </w:pPr>
                          <w:r>
                            <w:rPr>
                              <w:rFonts w:hint="default"/>
                              <w:sz w:val="21"/>
                              <w:szCs w:val="21"/>
                              <w:lang w:val="en-US"/>
                            </w:rPr>
                            <w:t xml:space="preserve">第 </w:t>
                          </w:r>
                          <w:r>
                            <w:rPr>
                              <w:rFonts w:hint="default"/>
                              <w:sz w:val="21"/>
                              <w:szCs w:val="21"/>
                              <w:lang w:val="en-US"/>
                            </w:rPr>
                            <w:fldChar w:fldCharType="begin"/>
                          </w:r>
                          <w:r>
                            <w:rPr>
                              <w:rFonts w:hint="default"/>
                              <w:sz w:val="21"/>
                              <w:szCs w:val="21"/>
                              <w:lang w:val="en-US"/>
                            </w:rPr>
                            <w:instrText xml:space="preserve"> PAGE  \* MERGEFORMAT </w:instrText>
                          </w:r>
                          <w:r>
                            <w:rPr>
                              <w:rFonts w:hint="default"/>
                              <w:sz w:val="21"/>
                              <w:szCs w:val="21"/>
                              <w:lang w:val="en-US"/>
                            </w:rPr>
                            <w:fldChar w:fldCharType="separate"/>
                          </w:r>
                          <w:r>
                            <w:rPr>
                              <w:rFonts w:hint="default"/>
                              <w:sz w:val="21"/>
                              <w:szCs w:val="21"/>
                              <w:lang w:val="en-US"/>
                            </w:rPr>
                            <w:t>一</w:t>
                          </w:r>
                          <w:r>
                            <w:rPr>
                              <w:rFonts w:hint="default"/>
                              <w:sz w:val="21"/>
                              <w:szCs w:val="21"/>
                              <w:lang w:val="en-US"/>
                            </w:rPr>
                            <w:fldChar w:fldCharType="end"/>
                          </w:r>
                          <w:r>
                            <w:rPr>
                              <w:rFonts w:hint="default"/>
                              <w:sz w:val="21"/>
                              <w:szCs w:val="21"/>
                              <w:lang w:val="en-US"/>
                            </w:rPr>
                            <w:t xml:space="preserve"> 页 共 </w:t>
                          </w:r>
                          <w:r>
                            <w:rPr>
                              <w:rFonts w:hint="eastAsia"/>
                              <w:sz w:val="21"/>
                              <w:szCs w:val="21"/>
                              <w:lang w:val="en-US" w:eastAsia="zh-CN"/>
                            </w:rPr>
                            <w:t>七十六</w:t>
                          </w:r>
                          <w:r>
                            <w:rPr>
                              <w:rFonts w:hint="default"/>
                              <w:sz w:val="21"/>
                              <w:szCs w:val="21"/>
                              <w:lang w:val="en-US"/>
                            </w:rPr>
                            <w:t xml:space="preserve"> 页</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39Wd8BAADA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NHcnLE38/P3b+cev88+v&#10;rLpOAvU+rCjv3lNmHF7DQGsz+wM5E++hRZv+xIhRnOQ9XeRVQ2QyXVpWy2VJIUmx+UD4xcN1jyG+&#10;UWBZMmqONL8sqzi+C3FMnVNSNQd32pg8Q+P+chBm8hSp97HHZMVhN0yEdtCciA89BKrTAX7hrKc1&#10;qLmjrefMvHWkctqY2cDZ2M2GcJIu1jxyNpq3cdysg0e97/KupaaCf3WI1GkmkNoYa0/d0WCzBNMS&#10;ps3585yzHh7e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J39Wd8BAADAAwAADgAAAAAA&#10;AAABACAAAAAeAQAAZHJzL2Uyb0RvYy54bWxQSwUGAAAAAAYABgBZAQAAbwUAAAAA&#10;">
              <v:fill on="f" focussize="0,0"/>
              <v:stroke on="f"/>
              <v:imagedata o:title=""/>
              <o:lock v:ext="edit" aspectratio="f"/>
              <v:textbox inset="0mm,0mm,0mm,0mm" style="mso-fit-shape-to-text:t;">
                <w:txbxContent>
                  <w:p w14:paraId="7C96434C">
                    <w:pPr>
                      <w:pStyle w:val="15"/>
                      <w:rPr>
                        <w:rFonts w:hint="default"/>
                        <w:sz w:val="21"/>
                        <w:szCs w:val="21"/>
                        <w:lang w:val="en-US"/>
                      </w:rPr>
                    </w:pPr>
                    <w:r>
                      <w:rPr>
                        <w:rFonts w:hint="default"/>
                        <w:sz w:val="21"/>
                        <w:szCs w:val="21"/>
                        <w:lang w:val="en-US"/>
                      </w:rPr>
                      <w:t xml:space="preserve">第 </w:t>
                    </w:r>
                    <w:r>
                      <w:rPr>
                        <w:rFonts w:hint="default"/>
                        <w:sz w:val="21"/>
                        <w:szCs w:val="21"/>
                        <w:lang w:val="en-US"/>
                      </w:rPr>
                      <w:fldChar w:fldCharType="begin"/>
                    </w:r>
                    <w:r>
                      <w:rPr>
                        <w:rFonts w:hint="default"/>
                        <w:sz w:val="21"/>
                        <w:szCs w:val="21"/>
                        <w:lang w:val="en-US"/>
                      </w:rPr>
                      <w:instrText xml:space="preserve"> PAGE  \* MERGEFORMAT </w:instrText>
                    </w:r>
                    <w:r>
                      <w:rPr>
                        <w:rFonts w:hint="default"/>
                        <w:sz w:val="21"/>
                        <w:szCs w:val="21"/>
                        <w:lang w:val="en-US"/>
                      </w:rPr>
                      <w:fldChar w:fldCharType="separate"/>
                    </w:r>
                    <w:r>
                      <w:rPr>
                        <w:rFonts w:hint="default"/>
                        <w:sz w:val="21"/>
                        <w:szCs w:val="21"/>
                        <w:lang w:val="en-US"/>
                      </w:rPr>
                      <w:t>一</w:t>
                    </w:r>
                    <w:r>
                      <w:rPr>
                        <w:rFonts w:hint="default"/>
                        <w:sz w:val="21"/>
                        <w:szCs w:val="21"/>
                        <w:lang w:val="en-US"/>
                      </w:rPr>
                      <w:fldChar w:fldCharType="end"/>
                    </w:r>
                    <w:r>
                      <w:rPr>
                        <w:rFonts w:hint="default"/>
                        <w:sz w:val="21"/>
                        <w:szCs w:val="21"/>
                        <w:lang w:val="en-US"/>
                      </w:rPr>
                      <w:t xml:space="preserve"> 页 共 </w:t>
                    </w:r>
                    <w:r>
                      <w:rPr>
                        <w:rFonts w:hint="eastAsia"/>
                        <w:sz w:val="21"/>
                        <w:szCs w:val="21"/>
                        <w:lang w:val="en-US" w:eastAsia="zh-CN"/>
                      </w:rPr>
                      <w:t>七十六</w:t>
                    </w:r>
                    <w:r>
                      <w:rPr>
                        <w:rFonts w:hint="default"/>
                        <w:sz w:val="21"/>
                        <w:szCs w:val="21"/>
                        <w:lang w:val="en-US"/>
                      </w:rPr>
                      <w:t xml:space="preserve"> 页</w:t>
                    </w:r>
                  </w:p>
                </w:txbxContent>
              </v:textbox>
            </v:shape>
          </w:pict>
        </mc:Fallback>
      </mc:AlternateContent>
    </w:r>
  </w:p>
  <w:p w14:paraId="50DFEA44">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F291">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BB22">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C989">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45E7">
    <w:pPr>
      <w:pStyle w:val="16"/>
      <w:pBdr>
        <w:bottom w:val="none" w:color="auto" w:sz="0" w:space="1"/>
      </w:pBdr>
    </w:pPr>
    <w:r>
      <w:rPr>
        <w:rFonts w:hint="eastAsia"/>
      </w:rPr>
      <w:drawing>
        <wp:inline distT="0" distB="0" distL="114300" distR="114300">
          <wp:extent cx="5275580" cy="373380"/>
          <wp:effectExtent l="0" t="0" r="0" b="0"/>
          <wp:docPr id="32" name="图片 2" descr="86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867D.tmp"/>
                  <pic:cNvPicPr>
                    <a:picLocks noChangeAspect="1"/>
                  </pic:cNvPicPr>
                </pic:nvPicPr>
                <pic:blipFill>
                  <a:blip r:embed="rId1"/>
                  <a:stretch>
                    <a:fillRect/>
                  </a:stretch>
                </pic:blipFill>
                <pic:spPr>
                  <a:xfrm>
                    <a:off x="0" y="0"/>
                    <a:ext cx="5275580" cy="37338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3A3A">
    <w:pPr>
      <w:pStyle w:val="16"/>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D48DD">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C0B97"/>
    <w:multiLevelType w:val="singleLevel"/>
    <w:tmpl w:val="869C0B97"/>
    <w:lvl w:ilvl="0" w:tentative="0">
      <w:start w:val="1"/>
      <w:numFmt w:val="decimalEnclosedCircleChinese"/>
      <w:suff w:val="nothing"/>
      <w:lvlText w:val="%1　"/>
      <w:lvlJc w:val="left"/>
      <w:pPr>
        <w:ind w:left="0" w:firstLine="400"/>
      </w:pPr>
      <w:rPr>
        <w:rFonts w:hint="eastAsia"/>
      </w:rPr>
    </w:lvl>
  </w:abstractNum>
  <w:abstractNum w:abstractNumId="1">
    <w:nsid w:val="8DE19870"/>
    <w:multiLevelType w:val="singleLevel"/>
    <w:tmpl w:val="8DE19870"/>
    <w:lvl w:ilvl="0" w:tentative="0">
      <w:start w:val="1"/>
      <w:numFmt w:val="decimalEnclosedCircleChinese"/>
      <w:suff w:val="nothing"/>
      <w:lvlText w:val="%1　"/>
      <w:lvlJc w:val="left"/>
      <w:pPr>
        <w:ind w:left="0" w:firstLine="400"/>
      </w:pPr>
      <w:rPr>
        <w:rFonts w:hint="eastAsia"/>
      </w:rPr>
    </w:lvl>
  </w:abstractNum>
  <w:abstractNum w:abstractNumId="2">
    <w:nsid w:val="A5264F76"/>
    <w:multiLevelType w:val="singleLevel"/>
    <w:tmpl w:val="A5264F76"/>
    <w:lvl w:ilvl="0" w:tentative="0">
      <w:start w:val="1"/>
      <w:numFmt w:val="decimalEnclosedCircleChinese"/>
      <w:suff w:val="nothing"/>
      <w:lvlText w:val="%1　"/>
      <w:lvlJc w:val="left"/>
      <w:pPr>
        <w:ind w:left="0" w:firstLine="400"/>
      </w:pPr>
      <w:rPr>
        <w:rFonts w:hint="eastAsia"/>
      </w:rPr>
    </w:lvl>
  </w:abstractNum>
  <w:abstractNum w:abstractNumId="3">
    <w:nsid w:val="C1F7B4A8"/>
    <w:multiLevelType w:val="singleLevel"/>
    <w:tmpl w:val="C1F7B4A8"/>
    <w:lvl w:ilvl="0" w:tentative="0">
      <w:start w:val="1"/>
      <w:numFmt w:val="decimalEnclosedCircleChinese"/>
      <w:suff w:val="nothing"/>
      <w:lvlText w:val="%1　"/>
      <w:lvlJc w:val="left"/>
      <w:pPr>
        <w:ind w:left="0" w:firstLine="400"/>
      </w:pPr>
      <w:rPr>
        <w:rFonts w:hint="eastAsia"/>
      </w:rPr>
    </w:lvl>
  </w:abstractNum>
  <w:abstractNum w:abstractNumId="4">
    <w:nsid w:val="C3E25AB7"/>
    <w:multiLevelType w:val="singleLevel"/>
    <w:tmpl w:val="C3E25AB7"/>
    <w:lvl w:ilvl="0" w:tentative="0">
      <w:start w:val="1"/>
      <w:numFmt w:val="decimalEnclosedCircleChinese"/>
      <w:suff w:val="nothing"/>
      <w:lvlText w:val="%1　"/>
      <w:lvlJc w:val="left"/>
      <w:pPr>
        <w:ind w:left="0" w:firstLine="400"/>
      </w:pPr>
      <w:rPr>
        <w:rFonts w:hint="eastAsia"/>
      </w:rPr>
    </w:lvl>
  </w:abstractNum>
  <w:abstractNum w:abstractNumId="5">
    <w:nsid w:val="D6B3A0D8"/>
    <w:multiLevelType w:val="singleLevel"/>
    <w:tmpl w:val="D6B3A0D8"/>
    <w:lvl w:ilvl="0" w:tentative="0">
      <w:start w:val="1"/>
      <w:numFmt w:val="decimal"/>
      <w:pStyle w:val="8"/>
      <w:lvlText w:val="%1."/>
      <w:lvlJc w:val="left"/>
      <w:pPr>
        <w:tabs>
          <w:tab w:val="left" w:pos="780"/>
        </w:tabs>
        <w:ind w:left="780" w:hanging="360"/>
      </w:pPr>
    </w:lvl>
  </w:abstractNum>
  <w:abstractNum w:abstractNumId="6">
    <w:nsid w:val="D8515F8A"/>
    <w:multiLevelType w:val="singleLevel"/>
    <w:tmpl w:val="D8515F8A"/>
    <w:lvl w:ilvl="0" w:tentative="0">
      <w:start w:val="1"/>
      <w:numFmt w:val="decimalEnclosedCircleChinese"/>
      <w:suff w:val="nothing"/>
      <w:lvlText w:val="%1　"/>
      <w:lvlJc w:val="left"/>
      <w:pPr>
        <w:ind w:left="0" w:firstLine="400"/>
      </w:pPr>
      <w:rPr>
        <w:rFonts w:hint="eastAsia"/>
      </w:rPr>
    </w:lvl>
  </w:abstractNum>
  <w:abstractNum w:abstractNumId="7">
    <w:nsid w:val="DD400560"/>
    <w:multiLevelType w:val="singleLevel"/>
    <w:tmpl w:val="DD400560"/>
    <w:lvl w:ilvl="0" w:tentative="0">
      <w:start w:val="1"/>
      <w:numFmt w:val="decimalEnclosedCircleChinese"/>
      <w:suff w:val="nothing"/>
      <w:lvlText w:val="%1　"/>
      <w:lvlJc w:val="left"/>
      <w:pPr>
        <w:ind w:left="0" w:firstLine="400"/>
      </w:pPr>
      <w:rPr>
        <w:rFonts w:hint="eastAsia"/>
      </w:rPr>
    </w:lvl>
  </w:abstractNum>
  <w:abstractNum w:abstractNumId="8">
    <w:nsid w:val="E2BCEFF3"/>
    <w:multiLevelType w:val="singleLevel"/>
    <w:tmpl w:val="E2BCEFF3"/>
    <w:lvl w:ilvl="0" w:tentative="0">
      <w:start w:val="1"/>
      <w:numFmt w:val="decimalEnclosedCircleChinese"/>
      <w:suff w:val="nothing"/>
      <w:lvlText w:val="%1　"/>
      <w:lvlJc w:val="left"/>
      <w:pPr>
        <w:ind w:left="0" w:firstLine="400"/>
      </w:pPr>
      <w:rPr>
        <w:rFonts w:hint="eastAsia"/>
      </w:rPr>
    </w:lvl>
  </w:abstractNum>
  <w:abstractNum w:abstractNumId="9">
    <w:nsid w:val="0000000E"/>
    <w:multiLevelType w:val="multilevel"/>
    <w:tmpl w:val="0000000E"/>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color w:val="auto"/>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C422A47"/>
    <w:multiLevelType w:val="singleLevel"/>
    <w:tmpl w:val="0C422A47"/>
    <w:lvl w:ilvl="0" w:tentative="0">
      <w:start w:val="1"/>
      <w:numFmt w:val="decimalEnclosedCircleChinese"/>
      <w:suff w:val="nothing"/>
      <w:lvlText w:val="%1　"/>
      <w:lvlJc w:val="left"/>
      <w:pPr>
        <w:ind w:left="0" w:firstLine="400"/>
      </w:pPr>
      <w:rPr>
        <w:rFonts w:hint="eastAsia"/>
      </w:rPr>
    </w:lvl>
  </w:abstractNum>
  <w:abstractNum w:abstractNumId="11">
    <w:nsid w:val="138849BF"/>
    <w:multiLevelType w:val="singleLevel"/>
    <w:tmpl w:val="138849BF"/>
    <w:lvl w:ilvl="0" w:tentative="0">
      <w:start w:val="1"/>
      <w:numFmt w:val="decimalEnclosedCircleChinese"/>
      <w:suff w:val="nothing"/>
      <w:lvlText w:val="%1　"/>
      <w:lvlJc w:val="left"/>
      <w:pPr>
        <w:ind w:left="0" w:firstLine="400"/>
      </w:pPr>
      <w:rPr>
        <w:rFonts w:hint="eastAsia"/>
      </w:rPr>
    </w:lvl>
  </w:abstractNum>
  <w:abstractNum w:abstractNumId="12">
    <w:nsid w:val="165BFC09"/>
    <w:multiLevelType w:val="singleLevel"/>
    <w:tmpl w:val="165BFC09"/>
    <w:lvl w:ilvl="0" w:tentative="0">
      <w:start w:val="1"/>
      <w:numFmt w:val="decimalEnclosedCircleChinese"/>
      <w:suff w:val="nothing"/>
      <w:lvlText w:val="%1　"/>
      <w:lvlJc w:val="left"/>
      <w:pPr>
        <w:ind w:left="0" w:firstLine="400"/>
      </w:pPr>
      <w:rPr>
        <w:rFonts w:hint="eastAsia"/>
      </w:rPr>
    </w:lvl>
  </w:abstractNum>
  <w:abstractNum w:abstractNumId="13">
    <w:nsid w:val="173E6C31"/>
    <w:multiLevelType w:val="multilevel"/>
    <w:tmpl w:val="173E6C3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6CFEF80"/>
    <w:multiLevelType w:val="multilevel"/>
    <w:tmpl w:val="26CFEF80"/>
    <w:lvl w:ilvl="0" w:tentative="0">
      <w:start w:val="1"/>
      <w:numFmt w:val="chineseCounting"/>
      <w:suff w:val="space"/>
      <w:lvlText w:val="%1、"/>
      <w:lvlJc w:val="left"/>
      <w:pPr>
        <w:tabs>
          <w:tab w:val="left" w:pos="420"/>
        </w:tabs>
        <w:ind w:left="0" w:firstLine="0"/>
      </w:pPr>
      <w:rPr>
        <w:rFonts w:hint="eastAsia" w:ascii="宋体" w:hAnsi="宋体" w:eastAsia="宋体" w:cs="宋体"/>
      </w:rPr>
    </w:lvl>
    <w:lvl w:ilvl="1" w:tentative="0">
      <w:start w:val="1"/>
      <w:numFmt w:val="chineseCounting"/>
      <w:suff w:val="nothing"/>
      <w:lvlText w:val="（%2）"/>
      <w:lvlJc w:val="left"/>
      <w:pPr>
        <w:tabs>
          <w:tab w:val="left" w:pos="420"/>
        </w:tabs>
        <w:ind w:left="0" w:firstLine="0"/>
      </w:pPr>
      <w:rPr>
        <w:rFonts w:hint="eastAsia" w:ascii="宋体" w:hAnsi="宋体" w:eastAsia="宋体" w:cs="宋体"/>
      </w:rPr>
    </w:lvl>
    <w:lvl w:ilvl="2" w:tentative="0">
      <w:start w:val="1"/>
      <w:numFmt w:val="decimal"/>
      <w:suff w:val="nothing"/>
      <w:lvlText w:val="%3．"/>
      <w:lvlJc w:val="left"/>
      <w:pPr>
        <w:tabs>
          <w:tab w:val="left" w:pos="420"/>
        </w:tabs>
        <w:ind w:left="0" w:firstLine="400"/>
      </w:pPr>
      <w:rPr>
        <w:rFonts w:hint="eastAsia" w:ascii="宋体" w:hAnsi="宋体" w:eastAsia="宋体" w:cs="宋体"/>
      </w:rPr>
    </w:lvl>
    <w:lvl w:ilvl="3" w:tentative="0">
      <w:start w:val="1"/>
      <w:numFmt w:val="decimal"/>
      <w:suff w:val="nothing"/>
      <w:lvlText w:val="（%4）"/>
      <w:lvlJc w:val="left"/>
      <w:pPr>
        <w:tabs>
          <w:tab w:val="left" w:pos="420"/>
        </w:tabs>
        <w:ind w:left="0" w:firstLine="402"/>
      </w:pPr>
      <w:rPr>
        <w:rFonts w:hint="eastAsia" w:ascii="宋体" w:hAnsi="宋体" w:eastAsia="宋体" w:cs="宋体"/>
      </w:rPr>
    </w:lvl>
    <w:lvl w:ilvl="4" w:tentative="0">
      <w:start w:val="1"/>
      <w:numFmt w:val="decimalEnclosedCircleChinese"/>
      <w:pStyle w:val="45"/>
      <w:suff w:val="nothing"/>
      <w:lvlText w:val="%5"/>
      <w:lvlJc w:val="left"/>
      <w:pPr>
        <w:tabs>
          <w:tab w:val="left" w:pos="420"/>
        </w:tabs>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2DFD6D2B"/>
    <w:multiLevelType w:val="multilevel"/>
    <w:tmpl w:val="2DFD6D2B"/>
    <w:lvl w:ilvl="0" w:tentative="0">
      <w:start w:val="1"/>
      <w:numFmt w:val="decimal"/>
      <w:suff w:val="space"/>
      <w:lvlText w:val="%1"/>
      <w:lvlJc w:val="left"/>
      <w:pPr>
        <w:ind w:left="425" w:hanging="425"/>
      </w:pPr>
      <w:rPr>
        <w:rFonts w:hint="eastAsia"/>
      </w:rPr>
    </w:lvl>
    <w:lvl w:ilvl="1" w:tentative="0">
      <w:start w:val="1"/>
      <w:numFmt w:val="decimal"/>
      <w:pStyle w:val="49"/>
      <w:suff w:val="space"/>
      <w:lvlText w:val="%1.%2"/>
      <w:lvlJc w:val="left"/>
      <w:pPr>
        <w:ind w:left="425" w:hanging="425"/>
      </w:pPr>
      <w:rPr>
        <w:rFonts w:hint="default" w:ascii="Times New Roman" w:hAnsi="Times New Roman" w:cs="Times New Roman"/>
      </w:rPr>
    </w:lvl>
    <w:lvl w:ilvl="2" w:tentative="0">
      <w:start w:val="1"/>
      <w:numFmt w:val="decimal"/>
      <w:suff w:val="space"/>
      <w:lvlText w:val="%1.%2.%3"/>
      <w:lvlJc w:val="left"/>
      <w:pPr>
        <w:ind w:left="3827" w:hanging="425"/>
      </w:pPr>
      <w:rPr>
        <w:rFonts w:hint="default" w:ascii="Times New Roman" w:hAnsi="Times New Roman" w:cs="Times New Roman"/>
        <w:sz w:val="28"/>
        <w:szCs w:val="28"/>
      </w:rPr>
    </w:lvl>
    <w:lvl w:ilvl="3" w:tentative="0">
      <w:start w:val="1"/>
      <w:numFmt w:val="decimal"/>
      <w:suff w:val="space"/>
      <w:lvlText w:val="%1.%2.%3.%4"/>
      <w:lvlJc w:val="left"/>
      <w:pPr>
        <w:ind w:left="425" w:hanging="425"/>
      </w:pPr>
      <w:rPr>
        <w:rFonts w:hint="default" w:ascii="Times New Roman" w:hAnsi="Times New Roman" w:cs="Times New Roman"/>
        <w:b/>
        <w:bCs w:val="0"/>
        <w:i w:val="0"/>
        <w:iCs w:val="0"/>
        <w:caps w:val="0"/>
        <w:smallCaps w:val="0"/>
        <w:strike w:val="0"/>
        <w:dstrike w:val="0"/>
        <w:vanish w:val="0"/>
        <w:spacing w:val="0"/>
        <w:position w:val="0"/>
        <w:sz w:val="28"/>
        <w:szCs w:val="28"/>
        <w:u w:val="none"/>
        <w:vertAlign w:val="baseline"/>
      </w:rPr>
    </w:lvl>
    <w:lvl w:ilvl="4" w:tentative="0">
      <w:start w:val="1"/>
      <w:numFmt w:val="decimal"/>
      <w:suff w:val="space"/>
      <w:lvlText w:val="%1.%2.%3.%4.%5"/>
      <w:lvlJc w:val="left"/>
      <w:pPr>
        <w:ind w:left="4536" w:hanging="425"/>
      </w:pPr>
      <w:rPr>
        <w:rFonts w:hint="default" w:ascii="Times New Roman" w:hAnsi="Times New Roman" w:cs="Times New Roman"/>
        <w:sz w:val="28"/>
        <w:szCs w:val="28"/>
      </w:rPr>
    </w:lvl>
    <w:lvl w:ilvl="5" w:tentative="0">
      <w:start w:val="1"/>
      <w:numFmt w:val="decimal"/>
      <w:suff w:val="space"/>
      <w:lvlText w:val="%1.%2.%3.%4.%5.%6"/>
      <w:lvlJc w:val="left"/>
      <w:pPr>
        <w:ind w:left="425" w:hanging="425"/>
      </w:pPr>
      <w:rPr>
        <w:rFonts w:hint="default" w:ascii="Times New Roman" w:hAnsi="Times New Roman" w:cs="Times New Roman"/>
        <w:sz w:val="28"/>
        <w:szCs w:val="28"/>
      </w:rPr>
    </w:lvl>
    <w:lvl w:ilvl="6" w:tentative="0">
      <w:start w:val="1"/>
      <w:numFmt w:val="decimal"/>
      <w:suff w:val="space"/>
      <w:lvlText w:val="%1.%2.%3.%4.%5.%6.%7"/>
      <w:lvlJc w:val="left"/>
      <w:pPr>
        <w:ind w:left="425" w:hanging="425"/>
      </w:pPr>
      <w:rPr>
        <w:rFonts w:hint="default" w:ascii="Times New Roman" w:hAnsi="Times New Roman" w:cs="Times New Roman"/>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1860ADC"/>
    <w:multiLevelType w:val="singleLevel"/>
    <w:tmpl w:val="31860ADC"/>
    <w:lvl w:ilvl="0" w:tentative="0">
      <w:start w:val="1"/>
      <w:numFmt w:val="decimalEnclosedCircleChinese"/>
      <w:suff w:val="nothing"/>
      <w:lvlText w:val="%1　"/>
      <w:lvlJc w:val="left"/>
      <w:pPr>
        <w:ind w:left="0" w:firstLine="400"/>
      </w:pPr>
      <w:rPr>
        <w:rFonts w:hint="eastAsia"/>
      </w:rPr>
    </w:lvl>
  </w:abstractNum>
  <w:abstractNum w:abstractNumId="17">
    <w:nsid w:val="58EC2F3C"/>
    <w:multiLevelType w:val="multilevel"/>
    <w:tmpl w:val="58EC2F3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6"/>
      <w:lvlText w:val="%1.%2.%3."/>
      <w:lvlJc w:val="left"/>
      <w:pPr>
        <w:ind w:left="709" w:hanging="709"/>
      </w:pPr>
      <w:rPr>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851" w:hanging="851"/>
      </w:pPr>
      <w:rPr>
        <w:b/>
        <w:bCs w:val="0"/>
        <w:i w:val="0"/>
        <w:iCs w:val="0"/>
        <w:caps w:val="0"/>
        <w:smallCaps w:val="0"/>
        <w:strike w:val="0"/>
        <w:dstrike w:val="0"/>
        <w:vanish w:val="0"/>
        <w:color w:val="000000"/>
        <w:spacing w:val="0"/>
        <w:position w:val="0"/>
        <w:u w:val="none"/>
        <w:vertAlign w:val="baseline"/>
      </w:rPr>
    </w:lvl>
    <w:lvl w:ilvl="4" w:tentative="0">
      <w:start w:val="1"/>
      <w:numFmt w:val="decimal"/>
      <w:pStyle w:val="7"/>
      <w:lvlText w:val="%1.%2.%3.%4.%5."/>
      <w:lvlJc w:val="left"/>
      <w:pPr>
        <w:ind w:left="992" w:hanging="992"/>
      </w:pPr>
      <w:rPr>
        <w:b/>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6B1A336B"/>
    <w:multiLevelType w:val="singleLevel"/>
    <w:tmpl w:val="6B1A336B"/>
    <w:lvl w:ilvl="0" w:tentative="0">
      <w:start w:val="1"/>
      <w:numFmt w:val="decimalEnclosedCircleChinese"/>
      <w:suff w:val="nothing"/>
      <w:lvlText w:val="%1　"/>
      <w:lvlJc w:val="left"/>
      <w:pPr>
        <w:ind w:left="0" w:firstLine="400"/>
      </w:pPr>
      <w:rPr>
        <w:rFonts w:hint="eastAsia"/>
      </w:rPr>
    </w:lvl>
  </w:abstractNum>
  <w:abstractNum w:abstractNumId="19">
    <w:nsid w:val="7D4A35E7"/>
    <w:multiLevelType w:val="singleLevel"/>
    <w:tmpl w:val="7D4A35E7"/>
    <w:lvl w:ilvl="0" w:tentative="0">
      <w:start w:val="1"/>
      <w:numFmt w:val="decimalEnclosedCircleChinese"/>
      <w:suff w:val="nothing"/>
      <w:lvlText w:val="%1　"/>
      <w:lvlJc w:val="left"/>
      <w:pPr>
        <w:ind w:left="0" w:firstLine="400"/>
      </w:pPr>
      <w:rPr>
        <w:rFonts w:hint="eastAsia"/>
      </w:rPr>
    </w:lvl>
  </w:abstractNum>
  <w:num w:numId="1">
    <w:abstractNumId w:val="17"/>
  </w:num>
  <w:num w:numId="2">
    <w:abstractNumId w:val="5"/>
  </w:num>
  <w:num w:numId="3">
    <w:abstractNumId w:val="9"/>
  </w:num>
  <w:num w:numId="4">
    <w:abstractNumId w:val="14"/>
  </w:num>
  <w:num w:numId="5">
    <w:abstractNumId w:val="15"/>
  </w:num>
  <w:num w:numId="6">
    <w:abstractNumId w:val="10"/>
  </w:num>
  <w:num w:numId="7">
    <w:abstractNumId w:val="19"/>
  </w:num>
  <w:num w:numId="8">
    <w:abstractNumId w:val="0"/>
  </w:num>
  <w:num w:numId="9">
    <w:abstractNumId w:val="11"/>
  </w:num>
  <w:num w:numId="10">
    <w:abstractNumId w:val="6"/>
  </w:num>
  <w:num w:numId="11">
    <w:abstractNumId w:val="12"/>
  </w:num>
  <w:num w:numId="12">
    <w:abstractNumId w:val="3"/>
  </w:num>
  <w:num w:numId="13">
    <w:abstractNumId w:val="8"/>
  </w:num>
  <w:num w:numId="14">
    <w:abstractNumId w:val="7"/>
  </w:num>
  <w:num w:numId="15">
    <w:abstractNumId w:val="1"/>
  </w:num>
  <w:num w:numId="16">
    <w:abstractNumId w:val="16"/>
  </w:num>
  <w:num w:numId="17">
    <w:abstractNumId w:val="2"/>
  </w:num>
  <w:num w:numId="18">
    <w:abstractNumId w:val="18"/>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34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YjUzNDQ0YjZkMzZlMTk1ZTk2ZDdmMjcwZDA1YzkifQ=="/>
    <w:docVar w:name="KSO_WPS_MARK_KEY" w:val="ef93acfc-4ae7-420c-a6de-a717f3e20edc"/>
  </w:docVars>
  <w:rsids>
    <w:rsidRoot w:val="005C7581"/>
    <w:rsid w:val="00032B5A"/>
    <w:rsid w:val="00043144"/>
    <w:rsid w:val="000F0FD9"/>
    <w:rsid w:val="00135135"/>
    <w:rsid w:val="001839D5"/>
    <w:rsid w:val="001A7307"/>
    <w:rsid w:val="001E1C7F"/>
    <w:rsid w:val="00324578"/>
    <w:rsid w:val="00396519"/>
    <w:rsid w:val="003B4456"/>
    <w:rsid w:val="004419AA"/>
    <w:rsid w:val="00490A3B"/>
    <w:rsid w:val="004F4C91"/>
    <w:rsid w:val="005731CB"/>
    <w:rsid w:val="005A48EA"/>
    <w:rsid w:val="005B1D2F"/>
    <w:rsid w:val="005C7581"/>
    <w:rsid w:val="005D510F"/>
    <w:rsid w:val="00606066"/>
    <w:rsid w:val="006066D9"/>
    <w:rsid w:val="007F3EA3"/>
    <w:rsid w:val="00813771"/>
    <w:rsid w:val="0082157C"/>
    <w:rsid w:val="008576EC"/>
    <w:rsid w:val="008D3E41"/>
    <w:rsid w:val="00972C76"/>
    <w:rsid w:val="009E3606"/>
    <w:rsid w:val="00B40DEE"/>
    <w:rsid w:val="00BE1DE6"/>
    <w:rsid w:val="00BF4A59"/>
    <w:rsid w:val="00C323BB"/>
    <w:rsid w:val="00C3721D"/>
    <w:rsid w:val="00C40880"/>
    <w:rsid w:val="00C51215"/>
    <w:rsid w:val="00C87060"/>
    <w:rsid w:val="00C943C0"/>
    <w:rsid w:val="00C95EC1"/>
    <w:rsid w:val="00D70799"/>
    <w:rsid w:val="00E231AC"/>
    <w:rsid w:val="00EB3BA3"/>
    <w:rsid w:val="00EB72AD"/>
    <w:rsid w:val="00F06700"/>
    <w:rsid w:val="00F43C35"/>
    <w:rsid w:val="012F2443"/>
    <w:rsid w:val="01EB45BC"/>
    <w:rsid w:val="01F86CD9"/>
    <w:rsid w:val="029A1C26"/>
    <w:rsid w:val="02BC7D06"/>
    <w:rsid w:val="02D90803"/>
    <w:rsid w:val="02E20655"/>
    <w:rsid w:val="03190971"/>
    <w:rsid w:val="04277401"/>
    <w:rsid w:val="042774F8"/>
    <w:rsid w:val="04583A5F"/>
    <w:rsid w:val="04E87B0B"/>
    <w:rsid w:val="04FA1B73"/>
    <w:rsid w:val="053F0E39"/>
    <w:rsid w:val="059211F2"/>
    <w:rsid w:val="059B642A"/>
    <w:rsid w:val="05D50704"/>
    <w:rsid w:val="062A31D9"/>
    <w:rsid w:val="066F6E3E"/>
    <w:rsid w:val="068113B7"/>
    <w:rsid w:val="06D55E09"/>
    <w:rsid w:val="0768220B"/>
    <w:rsid w:val="083321D8"/>
    <w:rsid w:val="08A92ADB"/>
    <w:rsid w:val="099E36C7"/>
    <w:rsid w:val="0A0501E5"/>
    <w:rsid w:val="0A845CAB"/>
    <w:rsid w:val="0A877BF6"/>
    <w:rsid w:val="0AA82EED"/>
    <w:rsid w:val="0AD3127A"/>
    <w:rsid w:val="0AF12517"/>
    <w:rsid w:val="0B375487"/>
    <w:rsid w:val="0B420FC5"/>
    <w:rsid w:val="0B444D3D"/>
    <w:rsid w:val="0B830A58"/>
    <w:rsid w:val="0B86523F"/>
    <w:rsid w:val="0BE60A32"/>
    <w:rsid w:val="0C2D2E5F"/>
    <w:rsid w:val="0C6E3780"/>
    <w:rsid w:val="0C7E427E"/>
    <w:rsid w:val="0CC06645"/>
    <w:rsid w:val="0CC31A99"/>
    <w:rsid w:val="0CE75980"/>
    <w:rsid w:val="0D814026"/>
    <w:rsid w:val="0D9067FE"/>
    <w:rsid w:val="0E913392"/>
    <w:rsid w:val="0E963B01"/>
    <w:rsid w:val="0EDF055F"/>
    <w:rsid w:val="0FB44C14"/>
    <w:rsid w:val="0FC14EC7"/>
    <w:rsid w:val="10146758"/>
    <w:rsid w:val="119D6066"/>
    <w:rsid w:val="11CE35B2"/>
    <w:rsid w:val="121A6C9D"/>
    <w:rsid w:val="124D5CE0"/>
    <w:rsid w:val="12DE16B8"/>
    <w:rsid w:val="13053004"/>
    <w:rsid w:val="1336343C"/>
    <w:rsid w:val="13367661"/>
    <w:rsid w:val="13461D2D"/>
    <w:rsid w:val="13517FF7"/>
    <w:rsid w:val="13620456"/>
    <w:rsid w:val="13DA623E"/>
    <w:rsid w:val="140D6614"/>
    <w:rsid w:val="14397409"/>
    <w:rsid w:val="149D59A3"/>
    <w:rsid w:val="14CF13E9"/>
    <w:rsid w:val="150A4D1B"/>
    <w:rsid w:val="1563023A"/>
    <w:rsid w:val="1574196A"/>
    <w:rsid w:val="157B75AD"/>
    <w:rsid w:val="159B09D6"/>
    <w:rsid w:val="15F41EFD"/>
    <w:rsid w:val="162B2D81"/>
    <w:rsid w:val="16365331"/>
    <w:rsid w:val="163B7F69"/>
    <w:rsid w:val="166C3327"/>
    <w:rsid w:val="16A768D1"/>
    <w:rsid w:val="16B234A2"/>
    <w:rsid w:val="17127A9D"/>
    <w:rsid w:val="171C6B6E"/>
    <w:rsid w:val="17956DD4"/>
    <w:rsid w:val="17B172B6"/>
    <w:rsid w:val="17C01332"/>
    <w:rsid w:val="18583BD5"/>
    <w:rsid w:val="185A2440"/>
    <w:rsid w:val="186779F4"/>
    <w:rsid w:val="186C4B88"/>
    <w:rsid w:val="18C82B09"/>
    <w:rsid w:val="19006747"/>
    <w:rsid w:val="190478B9"/>
    <w:rsid w:val="194A1770"/>
    <w:rsid w:val="194D74B2"/>
    <w:rsid w:val="19576081"/>
    <w:rsid w:val="19D854B8"/>
    <w:rsid w:val="1A0C1680"/>
    <w:rsid w:val="1A7D6775"/>
    <w:rsid w:val="1A974E89"/>
    <w:rsid w:val="1AC47300"/>
    <w:rsid w:val="1ACF69F7"/>
    <w:rsid w:val="1B2D1349"/>
    <w:rsid w:val="1BBD091F"/>
    <w:rsid w:val="1BDC260B"/>
    <w:rsid w:val="1BF34EC0"/>
    <w:rsid w:val="1C1F5136"/>
    <w:rsid w:val="1C3433ED"/>
    <w:rsid w:val="1C6F14EE"/>
    <w:rsid w:val="1CEC5CD2"/>
    <w:rsid w:val="1D6E367F"/>
    <w:rsid w:val="1DAF4298"/>
    <w:rsid w:val="1E6D61CB"/>
    <w:rsid w:val="1ECA6EAF"/>
    <w:rsid w:val="1EF03D4E"/>
    <w:rsid w:val="1F0974B2"/>
    <w:rsid w:val="1F1C3E27"/>
    <w:rsid w:val="1F274302"/>
    <w:rsid w:val="1FCB1131"/>
    <w:rsid w:val="20A21E92"/>
    <w:rsid w:val="20EA3839"/>
    <w:rsid w:val="20FA7F20"/>
    <w:rsid w:val="216F4B4A"/>
    <w:rsid w:val="217972E8"/>
    <w:rsid w:val="21DA38AD"/>
    <w:rsid w:val="2318468D"/>
    <w:rsid w:val="233D03C4"/>
    <w:rsid w:val="2381420E"/>
    <w:rsid w:val="24446D49"/>
    <w:rsid w:val="250550E5"/>
    <w:rsid w:val="252269AC"/>
    <w:rsid w:val="258003DF"/>
    <w:rsid w:val="265E2267"/>
    <w:rsid w:val="26683828"/>
    <w:rsid w:val="26760048"/>
    <w:rsid w:val="26C62652"/>
    <w:rsid w:val="26EF27F3"/>
    <w:rsid w:val="278E13C2"/>
    <w:rsid w:val="27AE736E"/>
    <w:rsid w:val="27B86176"/>
    <w:rsid w:val="286B15D4"/>
    <w:rsid w:val="28AB0C8A"/>
    <w:rsid w:val="28C954CA"/>
    <w:rsid w:val="299A67A7"/>
    <w:rsid w:val="29DB6414"/>
    <w:rsid w:val="2A6E594A"/>
    <w:rsid w:val="2A8C2B64"/>
    <w:rsid w:val="2AF37E84"/>
    <w:rsid w:val="2B342E07"/>
    <w:rsid w:val="2B3E30FF"/>
    <w:rsid w:val="2C271DE5"/>
    <w:rsid w:val="2C5A1334"/>
    <w:rsid w:val="2CB25B52"/>
    <w:rsid w:val="2D6075F1"/>
    <w:rsid w:val="2D954D92"/>
    <w:rsid w:val="2DC21CF0"/>
    <w:rsid w:val="2E2A1718"/>
    <w:rsid w:val="2E7627EC"/>
    <w:rsid w:val="2E946397"/>
    <w:rsid w:val="2EB44A3B"/>
    <w:rsid w:val="2ED00512"/>
    <w:rsid w:val="2F866E22"/>
    <w:rsid w:val="2FA05960"/>
    <w:rsid w:val="2FEF77C6"/>
    <w:rsid w:val="30026279"/>
    <w:rsid w:val="3005243D"/>
    <w:rsid w:val="31590B85"/>
    <w:rsid w:val="31655A89"/>
    <w:rsid w:val="318850D4"/>
    <w:rsid w:val="31E41130"/>
    <w:rsid w:val="320661D1"/>
    <w:rsid w:val="324A2389"/>
    <w:rsid w:val="3269502F"/>
    <w:rsid w:val="344057F2"/>
    <w:rsid w:val="344A6670"/>
    <w:rsid w:val="34670FD0"/>
    <w:rsid w:val="35072585"/>
    <w:rsid w:val="35073482"/>
    <w:rsid w:val="353C0959"/>
    <w:rsid w:val="35A5205C"/>
    <w:rsid w:val="35CA752F"/>
    <w:rsid w:val="365016CC"/>
    <w:rsid w:val="370A3594"/>
    <w:rsid w:val="372B09DB"/>
    <w:rsid w:val="376A4579"/>
    <w:rsid w:val="37751C56"/>
    <w:rsid w:val="37CA7FC2"/>
    <w:rsid w:val="37D5421E"/>
    <w:rsid w:val="385D775E"/>
    <w:rsid w:val="38806B05"/>
    <w:rsid w:val="38A071A7"/>
    <w:rsid w:val="38BA2543"/>
    <w:rsid w:val="38DB1F8D"/>
    <w:rsid w:val="38F95F14"/>
    <w:rsid w:val="39643D30"/>
    <w:rsid w:val="39930ABA"/>
    <w:rsid w:val="39943C53"/>
    <w:rsid w:val="39B32692"/>
    <w:rsid w:val="3A1C460B"/>
    <w:rsid w:val="3A231E3E"/>
    <w:rsid w:val="3A54022F"/>
    <w:rsid w:val="3A541FF7"/>
    <w:rsid w:val="3AD13648"/>
    <w:rsid w:val="3B00217F"/>
    <w:rsid w:val="3BEE1FD7"/>
    <w:rsid w:val="3C557E17"/>
    <w:rsid w:val="3C724118"/>
    <w:rsid w:val="3C93441C"/>
    <w:rsid w:val="3C9B4161"/>
    <w:rsid w:val="3CA01523"/>
    <w:rsid w:val="3CDC62D4"/>
    <w:rsid w:val="3CEE384F"/>
    <w:rsid w:val="3D0E0B83"/>
    <w:rsid w:val="3DA93FA0"/>
    <w:rsid w:val="3E701250"/>
    <w:rsid w:val="3E7106D7"/>
    <w:rsid w:val="3E902459"/>
    <w:rsid w:val="3EA95481"/>
    <w:rsid w:val="3F067638"/>
    <w:rsid w:val="3F203B4D"/>
    <w:rsid w:val="3F52287D"/>
    <w:rsid w:val="3F545357"/>
    <w:rsid w:val="3FD97768"/>
    <w:rsid w:val="40460634"/>
    <w:rsid w:val="40670E2B"/>
    <w:rsid w:val="40841DA5"/>
    <w:rsid w:val="410F4ECA"/>
    <w:rsid w:val="413521A0"/>
    <w:rsid w:val="4148218A"/>
    <w:rsid w:val="41550F34"/>
    <w:rsid w:val="41850CE8"/>
    <w:rsid w:val="41B15F81"/>
    <w:rsid w:val="42100EF9"/>
    <w:rsid w:val="434A2C73"/>
    <w:rsid w:val="435B61A4"/>
    <w:rsid w:val="43BA6078"/>
    <w:rsid w:val="45CA5863"/>
    <w:rsid w:val="46222FA9"/>
    <w:rsid w:val="46317690"/>
    <w:rsid w:val="463E3B5B"/>
    <w:rsid w:val="46C67DD9"/>
    <w:rsid w:val="46E62229"/>
    <w:rsid w:val="4775552C"/>
    <w:rsid w:val="478203CF"/>
    <w:rsid w:val="478B4B7E"/>
    <w:rsid w:val="47B31C1E"/>
    <w:rsid w:val="47C54534"/>
    <w:rsid w:val="47F210A1"/>
    <w:rsid w:val="47FC6C7C"/>
    <w:rsid w:val="48633C83"/>
    <w:rsid w:val="48A62CF1"/>
    <w:rsid w:val="48B3438D"/>
    <w:rsid w:val="48BC6C0F"/>
    <w:rsid w:val="48F11A6E"/>
    <w:rsid w:val="491C4E58"/>
    <w:rsid w:val="493A4AAE"/>
    <w:rsid w:val="49755743"/>
    <w:rsid w:val="49B5317C"/>
    <w:rsid w:val="49D22FA3"/>
    <w:rsid w:val="49DF39F1"/>
    <w:rsid w:val="4A024F0D"/>
    <w:rsid w:val="4A08695A"/>
    <w:rsid w:val="4A6B107F"/>
    <w:rsid w:val="4A7D10F6"/>
    <w:rsid w:val="4A845B16"/>
    <w:rsid w:val="4A963F66"/>
    <w:rsid w:val="4ACB00B3"/>
    <w:rsid w:val="4B5C2F33"/>
    <w:rsid w:val="4CC96874"/>
    <w:rsid w:val="4D297313"/>
    <w:rsid w:val="4D4619BC"/>
    <w:rsid w:val="4D5E11A8"/>
    <w:rsid w:val="4DC70A17"/>
    <w:rsid w:val="4E0F29E7"/>
    <w:rsid w:val="4E1B7F57"/>
    <w:rsid w:val="4F161B19"/>
    <w:rsid w:val="4F2D0CF3"/>
    <w:rsid w:val="4F360508"/>
    <w:rsid w:val="4F9A44F8"/>
    <w:rsid w:val="4FD317B8"/>
    <w:rsid w:val="4FE93656"/>
    <w:rsid w:val="5015592D"/>
    <w:rsid w:val="5141363B"/>
    <w:rsid w:val="5155169D"/>
    <w:rsid w:val="51BB2504"/>
    <w:rsid w:val="51CF0C5E"/>
    <w:rsid w:val="51D07F55"/>
    <w:rsid w:val="51D352D5"/>
    <w:rsid w:val="51F021AD"/>
    <w:rsid w:val="522B1438"/>
    <w:rsid w:val="52C75490"/>
    <w:rsid w:val="5365132C"/>
    <w:rsid w:val="53CF1177"/>
    <w:rsid w:val="53E915AA"/>
    <w:rsid w:val="54322F51"/>
    <w:rsid w:val="5435659E"/>
    <w:rsid w:val="5463310B"/>
    <w:rsid w:val="54A01FF8"/>
    <w:rsid w:val="550B603A"/>
    <w:rsid w:val="55941CD3"/>
    <w:rsid w:val="55A439DB"/>
    <w:rsid w:val="55DF1EC0"/>
    <w:rsid w:val="56037592"/>
    <w:rsid w:val="5658679F"/>
    <w:rsid w:val="5697353F"/>
    <w:rsid w:val="569869C4"/>
    <w:rsid w:val="56B518E0"/>
    <w:rsid w:val="56C02A96"/>
    <w:rsid w:val="5711784B"/>
    <w:rsid w:val="5748483A"/>
    <w:rsid w:val="574A629C"/>
    <w:rsid w:val="57B82442"/>
    <w:rsid w:val="583D42DB"/>
    <w:rsid w:val="584B5640"/>
    <w:rsid w:val="585E2744"/>
    <w:rsid w:val="58791E28"/>
    <w:rsid w:val="58C53AF0"/>
    <w:rsid w:val="58EA204C"/>
    <w:rsid w:val="58F35599"/>
    <w:rsid w:val="596F60AE"/>
    <w:rsid w:val="598A4A56"/>
    <w:rsid w:val="5A805435"/>
    <w:rsid w:val="5A9966AA"/>
    <w:rsid w:val="5AF90596"/>
    <w:rsid w:val="5B6E5782"/>
    <w:rsid w:val="5B8209A2"/>
    <w:rsid w:val="5B9A0A8F"/>
    <w:rsid w:val="5C1C0477"/>
    <w:rsid w:val="5C2313D1"/>
    <w:rsid w:val="5C7659A5"/>
    <w:rsid w:val="5CFC33E9"/>
    <w:rsid w:val="5EF3152F"/>
    <w:rsid w:val="5FD21AD3"/>
    <w:rsid w:val="5FFA17ED"/>
    <w:rsid w:val="5FFE1F39"/>
    <w:rsid w:val="60163933"/>
    <w:rsid w:val="602D0A71"/>
    <w:rsid w:val="6155202D"/>
    <w:rsid w:val="615D761B"/>
    <w:rsid w:val="6170287B"/>
    <w:rsid w:val="620A4BF2"/>
    <w:rsid w:val="62745598"/>
    <w:rsid w:val="629D6C53"/>
    <w:rsid w:val="62B335FC"/>
    <w:rsid w:val="62CC631F"/>
    <w:rsid w:val="63021D41"/>
    <w:rsid w:val="631B00C2"/>
    <w:rsid w:val="638B6472"/>
    <w:rsid w:val="639C4995"/>
    <w:rsid w:val="639D1585"/>
    <w:rsid w:val="63D07BF7"/>
    <w:rsid w:val="64020EED"/>
    <w:rsid w:val="64136A0F"/>
    <w:rsid w:val="641F5CF8"/>
    <w:rsid w:val="644D0BF6"/>
    <w:rsid w:val="646C5FB1"/>
    <w:rsid w:val="6477050C"/>
    <w:rsid w:val="64B31EEB"/>
    <w:rsid w:val="64BB664B"/>
    <w:rsid w:val="64C37BF6"/>
    <w:rsid w:val="64F47DAF"/>
    <w:rsid w:val="651D5558"/>
    <w:rsid w:val="651D7306"/>
    <w:rsid w:val="65921AA2"/>
    <w:rsid w:val="65B71508"/>
    <w:rsid w:val="65D71ACC"/>
    <w:rsid w:val="65F362B8"/>
    <w:rsid w:val="6612387C"/>
    <w:rsid w:val="66687789"/>
    <w:rsid w:val="67277FC8"/>
    <w:rsid w:val="677671A1"/>
    <w:rsid w:val="67C812B6"/>
    <w:rsid w:val="68342BF8"/>
    <w:rsid w:val="68E51EE8"/>
    <w:rsid w:val="6901083E"/>
    <w:rsid w:val="69197CA1"/>
    <w:rsid w:val="69440294"/>
    <w:rsid w:val="69771B0D"/>
    <w:rsid w:val="69990F25"/>
    <w:rsid w:val="69A01782"/>
    <w:rsid w:val="69B67D29"/>
    <w:rsid w:val="69C654CD"/>
    <w:rsid w:val="69FB6955"/>
    <w:rsid w:val="6A4946F9"/>
    <w:rsid w:val="6A5642A6"/>
    <w:rsid w:val="6A845731"/>
    <w:rsid w:val="6AB57FE0"/>
    <w:rsid w:val="6ABE0C43"/>
    <w:rsid w:val="6AFB1D60"/>
    <w:rsid w:val="6B0B6AB7"/>
    <w:rsid w:val="6B245129"/>
    <w:rsid w:val="6BAF4A30"/>
    <w:rsid w:val="6BB73C7B"/>
    <w:rsid w:val="6C1D31AD"/>
    <w:rsid w:val="6C64426B"/>
    <w:rsid w:val="6CCA7D73"/>
    <w:rsid w:val="6D851EEC"/>
    <w:rsid w:val="6DB6247E"/>
    <w:rsid w:val="6DCE3893"/>
    <w:rsid w:val="6EE04669"/>
    <w:rsid w:val="6F2D6148"/>
    <w:rsid w:val="6F436C24"/>
    <w:rsid w:val="6F5354AC"/>
    <w:rsid w:val="6FAA5C3A"/>
    <w:rsid w:val="6FDC23C5"/>
    <w:rsid w:val="6FE80510"/>
    <w:rsid w:val="70F32286"/>
    <w:rsid w:val="711F533D"/>
    <w:rsid w:val="713559D7"/>
    <w:rsid w:val="71C11019"/>
    <w:rsid w:val="71D6769C"/>
    <w:rsid w:val="72003C2C"/>
    <w:rsid w:val="723B5DA8"/>
    <w:rsid w:val="728C72FF"/>
    <w:rsid w:val="72F21DD2"/>
    <w:rsid w:val="735015EA"/>
    <w:rsid w:val="73540161"/>
    <w:rsid w:val="742E01C4"/>
    <w:rsid w:val="743C1F26"/>
    <w:rsid w:val="74947AEC"/>
    <w:rsid w:val="74E90FB2"/>
    <w:rsid w:val="751D0C5C"/>
    <w:rsid w:val="751F2C26"/>
    <w:rsid w:val="75210123"/>
    <w:rsid w:val="75690FF6"/>
    <w:rsid w:val="75D02172"/>
    <w:rsid w:val="75D752AF"/>
    <w:rsid w:val="760916E6"/>
    <w:rsid w:val="76E37597"/>
    <w:rsid w:val="76E75E59"/>
    <w:rsid w:val="76F141A8"/>
    <w:rsid w:val="77102C6B"/>
    <w:rsid w:val="77244524"/>
    <w:rsid w:val="775B7499"/>
    <w:rsid w:val="77AB07A1"/>
    <w:rsid w:val="78126A72"/>
    <w:rsid w:val="78627E71"/>
    <w:rsid w:val="78787282"/>
    <w:rsid w:val="787D41FD"/>
    <w:rsid w:val="78F7629B"/>
    <w:rsid w:val="793547C6"/>
    <w:rsid w:val="79925FEB"/>
    <w:rsid w:val="799E4719"/>
    <w:rsid w:val="7A9C2DE9"/>
    <w:rsid w:val="7AA42F8B"/>
    <w:rsid w:val="7AAC1866"/>
    <w:rsid w:val="7AAD2A82"/>
    <w:rsid w:val="7B152D39"/>
    <w:rsid w:val="7B19005A"/>
    <w:rsid w:val="7B334D35"/>
    <w:rsid w:val="7B3702FB"/>
    <w:rsid w:val="7B566DB9"/>
    <w:rsid w:val="7B59154E"/>
    <w:rsid w:val="7B762942"/>
    <w:rsid w:val="7BA105B5"/>
    <w:rsid w:val="7BAC177D"/>
    <w:rsid w:val="7BAE2FFF"/>
    <w:rsid w:val="7BD23C13"/>
    <w:rsid w:val="7BD81D81"/>
    <w:rsid w:val="7BEE1712"/>
    <w:rsid w:val="7C137693"/>
    <w:rsid w:val="7C1E3C37"/>
    <w:rsid w:val="7C70231F"/>
    <w:rsid w:val="7C914409"/>
    <w:rsid w:val="7CC80849"/>
    <w:rsid w:val="7CEC53B9"/>
    <w:rsid w:val="7CF34026"/>
    <w:rsid w:val="7D0821F2"/>
    <w:rsid w:val="7D7645D0"/>
    <w:rsid w:val="7DA405F9"/>
    <w:rsid w:val="7DAF3348"/>
    <w:rsid w:val="7E4E1E86"/>
    <w:rsid w:val="7EA61CC2"/>
    <w:rsid w:val="7EBC3294"/>
    <w:rsid w:val="7EC00FD6"/>
    <w:rsid w:val="7F166CBB"/>
    <w:rsid w:val="7F198BBD"/>
    <w:rsid w:val="7F483F5D"/>
    <w:rsid w:val="7F5B28E2"/>
    <w:rsid w:val="7FB41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宋体" w:cs="Times New Roman"/>
      <w:sz w:val="34"/>
      <w:lang w:val="en-US" w:eastAsia="zh-CN" w:bidi="ar-SA"/>
    </w:rPr>
  </w:style>
  <w:style w:type="paragraph" w:styleId="2">
    <w:name w:val="heading 1"/>
    <w:basedOn w:val="1"/>
    <w:next w:val="1"/>
    <w:link w:val="31"/>
    <w:qFormat/>
    <w:uiPriority w:val="0"/>
    <w:pPr>
      <w:keepNext/>
      <w:keepLines/>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link w:val="32"/>
    <w:qFormat/>
    <w:uiPriority w:val="0"/>
    <w:pPr>
      <w:keepNext/>
      <w:keepLines/>
      <w:widowControl w:val="0"/>
      <w:tabs>
        <w:tab w:val="left" w:pos="720"/>
      </w:tabs>
      <w:spacing w:before="260" w:after="260" w:line="360" w:lineRule="auto"/>
      <w:jc w:val="center"/>
      <w:outlineLvl w:val="1"/>
    </w:pPr>
    <w:rPr>
      <w:rFonts w:hAnsi="宋体"/>
      <w:b/>
      <w:bCs/>
      <w:iCs/>
      <w:sz w:val="28"/>
      <w:szCs w:val="28"/>
    </w:rPr>
  </w:style>
  <w:style w:type="paragraph" w:styleId="4">
    <w:name w:val="heading 3"/>
    <w:basedOn w:val="1"/>
    <w:next w:val="5"/>
    <w:qFormat/>
    <w:uiPriority w:val="0"/>
    <w:pPr>
      <w:keepNext/>
      <w:keepLines/>
      <w:widowControl w:val="0"/>
      <w:tabs>
        <w:tab w:val="left" w:pos="900"/>
      </w:tabs>
      <w:spacing w:before="260" w:after="260" w:line="360" w:lineRule="auto"/>
      <w:jc w:val="both"/>
      <w:outlineLvl w:val="2"/>
    </w:pPr>
    <w:rPr>
      <w:rFonts w:hAnsi="宋体"/>
      <w:b/>
      <w:bCs/>
      <w:kern w:val="2"/>
      <w:sz w:val="28"/>
      <w:szCs w:val="28"/>
    </w:rPr>
  </w:style>
  <w:style w:type="paragraph" w:styleId="6">
    <w:name w:val="heading 4"/>
    <w:basedOn w:val="1"/>
    <w:next w:val="1"/>
    <w:unhideWhenUsed/>
    <w:qFormat/>
    <w:uiPriority w:val="9"/>
    <w:pPr>
      <w:keepNext/>
      <w:keepLines/>
      <w:numPr>
        <w:ilvl w:val="2"/>
        <w:numId w:val="1"/>
      </w:numPr>
      <w:spacing w:beforeLines="30" w:afterLines="30" w:line="360" w:lineRule="auto"/>
      <w:outlineLvl w:val="3"/>
    </w:pPr>
    <w:rPr>
      <w:rFonts w:ascii="黑体" w:hAnsi="黑体" w:eastAsia="黑体" w:cs="Times New Roman"/>
      <w:b/>
      <w:bCs/>
      <w:sz w:val="28"/>
      <w:szCs w:val="28"/>
    </w:rPr>
  </w:style>
  <w:style w:type="paragraph" w:styleId="7">
    <w:name w:val="heading 5"/>
    <w:basedOn w:val="1"/>
    <w:next w:val="1"/>
    <w:unhideWhenUsed/>
    <w:qFormat/>
    <w:uiPriority w:val="9"/>
    <w:pPr>
      <w:keepNext/>
      <w:keepLines/>
      <w:numPr>
        <w:ilvl w:val="4"/>
        <w:numId w:val="1"/>
      </w:numPr>
      <w:spacing w:beforeLines="30" w:afterLines="30" w:line="360" w:lineRule="auto"/>
      <w:outlineLvl w:val="4"/>
    </w:pPr>
    <w:rPr>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360" w:lineRule="auto"/>
      <w:ind w:firstLine="420" w:firstLineChars="200"/>
      <w:jc w:val="both"/>
    </w:pPr>
    <w:rPr>
      <w:rFonts w:ascii="Times New Roman"/>
      <w:kern w:val="2"/>
      <w:sz w:val="21"/>
      <w:szCs w:val="24"/>
    </w:rPr>
  </w:style>
  <w:style w:type="paragraph" w:styleId="8">
    <w:name w:val="List Number 2"/>
    <w:basedOn w:val="1"/>
    <w:qFormat/>
    <w:uiPriority w:val="0"/>
    <w:pPr>
      <w:numPr>
        <w:ilvl w:val="0"/>
        <w:numId w:val="2"/>
      </w:numPr>
    </w:pPr>
  </w:style>
  <w:style w:type="paragraph" w:styleId="9">
    <w:name w:val="annotation text"/>
    <w:basedOn w:val="1"/>
    <w:qFormat/>
    <w:uiPriority w:val="0"/>
    <w:pPr>
      <w:jc w:val="left"/>
    </w:pPr>
  </w:style>
  <w:style w:type="paragraph" w:styleId="10">
    <w:name w:val="Body Text"/>
    <w:basedOn w:val="1"/>
    <w:qFormat/>
    <w:uiPriority w:val="0"/>
    <w:pPr>
      <w:spacing w:after="120"/>
    </w:pPr>
    <w:rPr>
      <w:rFonts w:ascii="Times New Roman"/>
      <w:sz w:val="24"/>
      <w:szCs w:val="24"/>
    </w:rPr>
  </w:style>
  <w:style w:type="paragraph" w:styleId="11">
    <w:name w:val="Body Text Indent"/>
    <w:basedOn w:val="1"/>
    <w:next w:val="1"/>
    <w:qFormat/>
    <w:uiPriority w:val="0"/>
    <w:pPr>
      <w:widowControl w:val="0"/>
      <w:autoSpaceDE w:val="0"/>
      <w:autoSpaceDN w:val="0"/>
      <w:adjustRightInd w:val="0"/>
      <w:spacing w:line="360" w:lineRule="auto"/>
      <w:ind w:firstLine="540" w:firstLineChars="180"/>
      <w:jc w:val="both"/>
    </w:pPr>
    <w:rPr>
      <w:sz w:val="30"/>
      <w:szCs w:val="24"/>
    </w:rPr>
  </w:style>
  <w:style w:type="paragraph" w:styleId="12">
    <w:name w:val="toc 3"/>
    <w:basedOn w:val="1"/>
    <w:next w:val="1"/>
    <w:qFormat/>
    <w:uiPriority w:val="39"/>
    <w:pPr>
      <w:ind w:left="840" w:leftChars="400"/>
    </w:pPr>
  </w:style>
  <w:style w:type="paragraph" w:styleId="13">
    <w:name w:val="Plain Text"/>
    <w:basedOn w:val="1"/>
    <w:qFormat/>
    <w:uiPriority w:val="0"/>
    <w:pPr>
      <w:widowControl w:val="0"/>
      <w:autoSpaceDE w:val="0"/>
      <w:autoSpaceDN w:val="0"/>
      <w:adjustRightInd w:val="0"/>
      <w:jc w:val="both"/>
    </w:pPr>
    <w:rPr>
      <w:rFonts w:hAnsi="Tms Rmn" w:cs="宋体"/>
      <w:sz w:val="21"/>
      <w:szCs w:val="21"/>
    </w:rPr>
  </w:style>
  <w:style w:type="paragraph" w:styleId="14">
    <w:name w:val="Body Text Indent 2"/>
    <w:basedOn w:val="1"/>
    <w:qFormat/>
    <w:uiPriority w:val="0"/>
    <w:pPr>
      <w:widowControl w:val="0"/>
      <w:ind w:firstLine="540" w:firstLineChars="257"/>
      <w:jc w:val="both"/>
    </w:pPr>
    <w:rPr>
      <w:kern w:val="2"/>
      <w:sz w:val="21"/>
    </w:rPr>
  </w:style>
  <w:style w:type="paragraph" w:styleId="15">
    <w:name w:val="footer"/>
    <w:basedOn w:val="1"/>
    <w:qFormat/>
    <w:uiPriority w:val="99"/>
    <w:pPr>
      <w:tabs>
        <w:tab w:val="center" w:pos="4153"/>
        <w:tab w:val="right" w:pos="8306"/>
      </w:tabs>
      <w:snapToGrid w:val="0"/>
    </w:pPr>
    <w:rPr>
      <w:rFonts w:hAnsi="Verdana" w:eastAsia="仿宋_GB2312"/>
      <w:sz w:val="18"/>
      <w:szCs w:val="18"/>
      <w:lang w:eastAsia="en-US"/>
    </w:rPr>
  </w:style>
  <w:style w:type="paragraph" w:styleId="16">
    <w:name w:val="header"/>
    <w:basedOn w:val="1"/>
    <w:qFormat/>
    <w:uiPriority w:val="0"/>
    <w:pPr>
      <w:pBdr>
        <w:bottom w:val="single" w:color="auto" w:sz="6" w:space="1"/>
      </w:pBdr>
      <w:tabs>
        <w:tab w:val="center" w:pos="4153"/>
        <w:tab w:val="right" w:pos="8306"/>
      </w:tabs>
      <w:snapToGrid w:val="0"/>
      <w:jc w:val="center"/>
    </w:pPr>
    <w:rPr>
      <w:rFonts w:hAnsi="Verdana"/>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Body Text 2"/>
    <w:basedOn w:val="1"/>
    <w:qFormat/>
    <w:uiPriority w:val="99"/>
    <w:pPr>
      <w:jc w:val="center"/>
    </w:pPr>
    <w:rPr>
      <w:rFonts w:eastAsia="宋体"/>
      <w:sz w:val="24"/>
    </w:rPr>
  </w:style>
  <w:style w:type="paragraph" w:styleId="20">
    <w:name w:val="List Continue 2"/>
    <w:basedOn w:val="1"/>
    <w:qFormat/>
    <w:uiPriority w:val="0"/>
    <w:pPr>
      <w:ind w:left="400" w:leftChars="400"/>
    </w:pPr>
  </w:style>
  <w:style w:type="paragraph" w:styleId="21">
    <w:name w:val="Normal (Web)"/>
    <w:basedOn w:val="1"/>
    <w:qFormat/>
    <w:uiPriority w:val="0"/>
    <w:pPr>
      <w:spacing w:before="100" w:beforeAutospacing="1" w:after="100" w:afterAutospacing="1"/>
    </w:pPr>
    <w:rPr>
      <w:rFonts w:hAnsi="宋体"/>
    </w:rPr>
  </w:style>
  <w:style w:type="paragraph" w:styleId="22">
    <w:name w:val="Body Text First Indent 2"/>
    <w:basedOn w:val="1"/>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rPr>
      <w:lang w:eastAsia="en-US"/>
    </w:rPr>
  </w:style>
  <w:style w:type="character" w:styleId="28">
    <w:name w:val="Hyperlink"/>
    <w:basedOn w:val="25"/>
    <w:unhideWhenUsed/>
    <w:qFormat/>
    <w:uiPriority w:val="99"/>
    <w:rPr>
      <w:color w:val="0026E5"/>
      <w:u w:val="single"/>
    </w:rPr>
  </w:style>
  <w:style w:type="character" w:styleId="29">
    <w:name w:val="annotation reference"/>
    <w:unhideWhenUsed/>
    <w:qFormat/>
    <w:uiPriority w:val="0"/>
    <w:rPr>
      <w:sz w:val="21"/>
      <w:szCs w:val="21"/>
    </w:rPr>
  </w:style>
  <w:style w:type="paragraph" w:customStyle="1" w:styleId="30">
    <w:name w:val="样式1"/>
    <w:basedOn w:val="1"/>
    <w:qFormat/>
    <w:uiPriority w:val="0"/>
    <w:pPr>
      <w:widowControl w:val="0"/>
      <w:numPr>
        <w:ilvl w:val="0"/>
        <w:numId w:val="3"/>
      </w:numPr>
      <w:adjustRightInd w:val="0"/>
      <w:spacing w:line="360" w:lineRule="auto"/>
      <w:jc w:val="both"/>
      <w:textAlignment w:val="baseline"/>
    </w:pPr>
    <w:rPr>
      <w:rFonts w:hAnsi="宋体"/>
      <w:kern w:val="2"/>
      <w:sz w:val="24"/>
      <w:szCs w:val="21"/>
    </w:rPr>
  </w:style>
  <w:style w:type="character" w:customStyle="1" w:styleId="31">
    <w:name w:val="标题 1 字符1"/>
    <w:link w:val="2"/>
    <w:qFormat/>
    <w:uiPriority w:val="0"/>
    <w:rPr>
      <w:rFonts w:ascii="华文中宋" w:hAnsi="华文中宋" w:eastAsia="华文中宋"/>
      <w:b/>
      <w:bCs/>
      <w:color w:val="000000"/>
      <w:kern w:val="44"/>
      <w:sz w:val="32"/>
      <w:szCs w:val="32"/>
    </w:rPr>
  </w:style>
  <w:style w:type="character" w:customStyle="1" w:styleId="32">
    <w:name w:val="标题 2 字符"/>
    <w:link w:val="3"/>
    <w:qFormat/>
    <w:uiPriority w:val="0"/>
    <w:rPr>
      <w:rFonts w:hAnsi="宋体"/>
      <w:b/>
      <w:bCs/>
      <w:iCs/>
      <w:sz w:val="28"/>
      <w:szCs w:val="28"/>
    </w:rPr>
  </w:style>
  <w:style w:type="paragraph" w:customStyle="1" w:styleId="33">
    <w:name w:val="引用1"/>
    <w:basedOn w:val="1"/>
    <w:next w:val="1"/>
    <w:qFormat/>
    <w:uiPriority w:val="99"/>
    <w:rPr>
      <w:rFonts w:ascii="Calibri" w:hAnsi="Calibri" w:cs="Calibri"/>
      <w:i/>
      <w:iCs/>
      <w:color w:val="000000"/>
      <w:sz w:val="22"/>
    </w:rPr>
  </w:style>
  <w:style w:type="paragraph" w:customStyle="1" w:styleId="34">
    <w:name w:val="正文缩进1"/>
    <w:basedOn w:val="1"/>
    <w:next w:val="1"/>
    <w:qFormat/>
    <w:uiPriority w:val="0"/>
    <w:pPr>
      <w:ind w:firstLine="420"/>
      <w:jc w:val="both"/>
    </w:pPr>
    <w:rPr>
      <w:color w:val="000000"/>
      <w:kern w:val="2"/>
      <w:sz w:val="21"/>
    </w:rPr>
  </w:style>
  <w:style w:type="character" w:customStyle="1" w:styleId="35">
    <w:name w:val="标题 1 字符"/>
    <w:qFormat/>
    <w:uiPriority w:val="0"/>
    <w:rPr>
      <w:rFonts w:ascii="Times New Roman" w:hAnsi="Times New Roman" w:eastAsia="宋体"/>
      <w:b/>
      <w:bCs/>
      <w:kern w:val="44"/>
      <w:sz w:val="36"/>
      <w:szCs w:val="44"/>
    </w:rPr>
  </w:style>
  <w:style w:type="paragraph" w:customStyle="1" w:styleId="36">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3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8">
    <w:name w:val="Q"/>
    <w:basedOn w:val="1"/>
    <w:qFormat/>
    <w:uiPriority w:val="0"/>
    <w:pPr>
      <w:spacing w:line="480" w:lineRule="auto"/>
      <w:ind w:firstLine="200" w:firstLineChars="200"/>
      <w:jc w:val="center"/>
    </w:pPr>
    <w:rPr>
      <w:rFonts w:eastAsia="黑体"/>
      <w:b/>
      <w:bCs/>
      <w:spacing w:val="10"/>
      <w:sz w:val="32"/>
      <w:szCs w:val="28"/>
    </w:rPr>
  </w:style>
  <w:style w:type="paragraph" w:customStyle="1" w:styleId="39">
    <w:name w:val="正文文本缩进1"/>
    <w:basedOn w:val="1"/>
    <w:qFormat/>
    <w:uiPriority w:val="0"/>
    <w:pPr>
      <w:spacing w:after="120"/>
      <w:ind w:left="420" w:leftChars="200"/>
    </w:pPr>
    <w:rPr>
      <w:rFonts w:ascii="Times New Roman"/>
    </w:rPr>
  </w:style>
  <w:style w:type="paragraph" w:customStyle="1" w:styleId="40">
    <w:name w:val="表格"/>
    <w:basedOn w:val="1"/>
    <w:qFormat/>
    <w:uiPriority w:val="0"/>
    <w:pPr>
      <w:widowControl w:val="0"/>
      <w:spacing w:line="400" w:lineRule="exact"/>
      <w:jc w:val="both"/>
    </w:pPr>
    <w:rPr>
      <w:kern w:val="2"/>
    </w:rPr>
  </w:style>
  <w:style w:type="paragraph" w:customStyle="1" w:styleId="41">
    <w:name w:val="样式 首行缩进:  2 字符"/>
    <w:basedOn w:val="1"/>
    <w:qFormat/>
    <w:uiPriority w:val="0"/>
    <w:pPr>
      <w:widowControl w:val="0"/>
      <w:ind w:firstLine="420" w:firstLineChars="200"/>
      <w:jc w:val="both"/>
    </w:pPr>
    <w:rPr>
      <w:rFonts w:cs="宋体"/>
      <w:kern w:val="2"/>
      <w:sz w:val="21"/>
    </w:rPr>
  </w:style>
  <w:style w:type="paragraph" w:customStyle="1" w:styleId="42">
    <w:name w:val="正文（缩进）"/>
    <w:basedOn w:val="1"/>
    <w:next w:val="1"/>
    <w:qFormat/>
    <w:uiPriority w:val="0"/>
    <w:pPr>
      <w:spacing w:beforeLines="50" w:afterLines="50" w:line="360" w:lineRule="auto"/>
      <w:ind w:firstLine="480" w:firstLineChars="200"/>
    </w:pPr>
    <w:rPr>
      <w:rFonts w:ascii="Times New Roman"/>
      <w:sz w:val="24"/>
    </w:rPr>
  </w:style>
  <w:style w:type="paragraph" w:customStyle="1" w:styleId="43">
    <w:name w:val="列出段落11"/>
    <w:basedOn w:val="1"/>
    <w:qFormat/>
    <w:uiPriority w:val="34"/>
    <w:pPr>
      <w:ind w:firstLine="420"/>
    </w:pPr>
  </w:style>
  <w:style w:type="paragraph" w:styleId="44">
    <w:name w:val="List Paragraph"/>
    <w:basedOn w:val="1"/>
    <w:qFormat/>
    <w:uiPriority w:val="34"/>
    <w:pPr>
      <w:ind w:firstLine="420" w:firstLineChars="200"/>
    </w:pPr>
  </w:style>
  <w:style w:type="paragraph" w:customStyle="1" w:styleId="45">
    <w:name w:val="第5级（伪）"/>
    <w:basedOn w:val="1"/>
    <w:qFormat/>
    <w:uiPriority w:val="0"/>
    <w:pPr>
      <w:numPr>
        <w:ilvl w:val="4"/>
        <w:numId w:val="4"/>
      </w:numPr>
      <w:ind w:firstLine="403"/>
    </w:pPr>
  </w:style>
  <w:style w:type="paragraph" w:customStyle="1" w:styleId="46">
    <w:name w:val="TOC 标题1"/>
    <w:basedOn w:val="2"/>
    <w:next w:val="1"/>
    <w:unhideWhenUsed/>
    <w:qFormat/>
    <w:uiPriority w:val="39"/>
    <w:pPr>
      <w:spacing w:before="480" w:after="0" w:line="276" w:lineRule="auto"/>
      <w:jc w:val="left"/>
      <w:outlineLvl w:val="9"/>
    </w:pPr>
    <w:rPr>
      <w:rFonts w:ascii="Calibri Light" w:hAnsi="Calibri Light" w:eastAsia="宋体" w:cs="Times New Roman"/>
      <w:color w:val="2D54A0"/>
      <w:kern w:val="0"/>
      <w:sz w:val="28"/>
      <w:szCs w:val="28"/>
    </w:rPr>
  </w:style>
  <w:style w:type="paragraph" w:customStyle="1" w:styleId="47">
    <w:name w:val="p1"/>
    <w:basedOn w:val="1"/>
    <w:qFormat/>
    <w:uiPriority w:val="0"/>
    <w:rPr>
      <w:rFonts w:ascii="pingfang sc" w:hAnsi="pingfang sc" w:eastAsia="pingfang sc"/>
      <w:sz w:val="26"/>
      <w:szCs w:val="26"/>
    </w:rPr>
  </w:style>
  <w:style w:type="paragraph" w:customStyle="1" w:styleId="48">
    <w:name w:val="Revision"/>
    <w:unhideWhenUsed/>
    <w:qFormat/>
    <w:uiPriority w:val="99"/>
    <w:rPr>
      <w:rFonts w:ascii="宋体" w:hAnsi="Times New Roman" w:eastAsia="宋体" w:cs="Times New Roman"/>
      <w:sz w:val="34"/>
      <w:lang w:val="en-US" w:eastAsia="zh-CN" w:bidi="ar-SA"/>
    </w:rPr>
  </w:style>
  <w:style w:type="paragraph" w:customStyle="1" w:styleId="49">
    <w:name w:val="A-标题-2"/>
    <w:qFormat/>
    <w:uiPriority w:val="0"/>
    <w:pPr>
      <w:numPr>
        <w:ilvl w:val="1"/>
        <w:numId w:val="5"/>
      </w:numPr>
      <w:spacing w:before="312" w:beforeLines="100" w:after="156" w:afterLines="50" w:line="480" w:lineRule="auto"/>
      <w:outlineLvl w:val="1"/>
    </w:pPr>
    <w:rPr>
      <w:rFonts w:ascii="宋体" w:hAnsi="宋体" w:eastAsia="宋体" w:cs="仿宋"/>
      <w:b/>
      <w:kern w:val="2"/>
      <w:sz w:val="28"/>
      <w:szCs w:val="28"/>
      <w:lang w:val="en-US" w:eastAsia="zh-CN" w:bidi="ar-SA"/>
    </w:rPr>
  </w:style>
  <w:style w:type="paragraph" w:customStyle="1" w:styleId="5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1">
    <w:name w:val="无间隔1"/>
    <w:qFormat/>
    <w:uiPriority w:val="0"/>
    <w:pPr>
      <w:widowControl w:val="0"/>
      <w:jc w:val="both"/>
    </w:pPr>
    <w:rPr>
      <w:rFonts w:ascii="Calibri"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emf"/><Relationship Id="rId23" Type="http://schemas.openxmlformats.org/officeDocument/2006/relationships/oleObject" Target="embeddings/oleObject2.bin"/><Relationship Id="rId22" Type="http://schemas.openxmlformats.org/officeDocument/2006/relationships/image" Target="media/image3.e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6113</Words>
  <Characters>6429</Characters>
  <Lines>221</Lines>
  <Paragraphs>62</Paragraphs>
  <TotalTime>5</TotalTime>
  <ScaleCrop>false</ScaleCrop>
  <LinksUpToDate>false</LinksUpToDate>
  <CharactersWithSpaces>6586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2023-11-29T18:44:00Z</dcterms:created>
  <dc:creator>HUAWEI</dc:creator>
  <cp:lastModifiedBy>AoWin7</cp:lastModifiedBy>
  <dcterms:modified xsi:type="dcterms:W3CDTF">2025-08-18T08:17:37Z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9AD47F9178E54694B87E96A1834FB874_13</vt:lpwstr>
  </property>
  <property fmtid="{D5CDD505-2E9C-101B-9397-08002B2CF9AE}" pid="4" name="KSOTemplateDocerSaveRecord">
    <vt:lpwstr>eyJoZGlkIjoiNDM3MDczYjk5MzdmYmQzOTk5MzdmMTFlMDI3ODZmZjciLCJ1c2VySWQiOiIxNzY3MTI0NiJ9</vt:lpwstr>
  </property>
</Properties>
</file>